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6BB11330"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847D14">
        <w:rPr>
          <w:rFonts w:ascii="Times New Roman" w:hAnsi="Times New Roman" w:cs="Times New Roman"/>
          <w:i/>
          <w:sz w:val="24"/>
          <w:szCs w:val="24"/>
        </w:rPr>
        <w:t>F</w:t>
      </w:r>
      <w:r w:rsidR="0072788A">
        <w:rPr>
          <w:rFonts w:ascii="Times New Roman" w:hAnsi="Times New Roman" w:cs="Times New Roman"/>
          <w:i/>
          <w:sz w:val="24"/>
          <w:szCs w:val="24"/>
        </w:rPr>
        <w:t xml:space="preserve"> –</w:t>
      </w:r>
      <w:r w:rsidR="00847D14">
        <w:rPr>
          <w:rFonts w:ascii="Times New Roman" w:hAnsi="Times New Roman" w:cs="Times New Roman"/>
          <w:i/>
          <w:sz w:val="24"/>
          <w:szCs w:val="24"/>
        </w:rPr>
        <w:t xml:space="preserve"> Časť 6</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847D14">
        <w:rPr>
          <w:rFonts w:ascii="Times New Roman" w:hAnsi="Times New Roman" w:cs="Times New Roman"/>
          <w:i/>
          <w:sz w:val="24"/>
          <w:szCs w:val="24"/>
        </w:rPr>
        <w:t>Ovocie, zelenina a zemiaky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75D28548"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D654AA">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16D0DA31" w14:textId="4CBEE895" w:rsidR="00AA3E7E" w:rsidRPr="0072788A" w:rsidRDefault="00466724" w:rsidP="00A277C2">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72499FDC"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B0195C">
        <w:rPr>
          <w:rFonts w:ascii="Times New Roman" w:hAnsi="Times New Roman"/>
          <w:b/>
          <w:sz w:val="24"/>
          <w:szCs w:val="24"/>
        </w:rPr>
        <w:t xml:space="preserve">, Časť </w:t>
      </w:r>
      <w:r w:rsidR="00847D14">
        <w:rPr>
          <w:rFonts w:ascii="Times New Roman" w:hAnsi="Times New Roman"/>
          <w:b/>
          <w:sz w:val="24"/>
          <w:szCs w:val="24"/>
        </w:rPr>
        <w:t>6</w:t>
      </w:r>
      <w:r w:rsidR="00CC4C67">
        <w:rPr>
          <w:rFonts w:ascii="Times New Roman" w:hAnsi="Times New Roman"/>
          <w:b/>
          <w:sz w:val="24"/>
          <w:szCs w:val="24"/>
        </w:rPr>
        <w:t xml:space="preserve"> </w:t>
      </w:r>
      <w:r w:rsidR="00847D14">
        <w:rPr>
          <w:rFonts w:ascii="Times New Roman" w:hAnsi="Times New Roman"/>
          <w:b/>
          <w:sz w:val="24"/>
          <w:szCs w:val="24"/>
        </w:rPr>
        <w:t>Ovocie, zelenina a zemiaky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55E7E740"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A277C2">
        <w:rPr>
          <w:rFonts w:ascii="Times New Roman" w:hAnsi="Times New Roman"/>
          <w:bCs/>
          <w:sz w:val="24"/>
          <w:szCs w:val="24"/>
        </w:rPr>
        <w:t>ovocia, zeleniny a zemiakov</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5797FF31" w14:textId="77777777" w:rsidR="007B164F" w:rsidRDefault="00466724" w:rsidP="007B164F">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581EA712" w14:textId="764F3458" w:rsidR="007B164F" w:rsidRPr="007B164F" w:rsidRDefault="007B164F" w:rsidP="007B164F">
      <w:pPr>
        <w:pStyle w:val="Odsekzoznamu"/>
        <w:numPr>
          <w:ilvl w:val="1"/>
          <w:numId w:val="16"/>
        </w:numPr>
        <w:spacing w:before="120" w:after="120"/>
        <w:ind w:left="567" w:hanging="567"/>
        <w:jc w:val="both"/>
        <w:rPr>
          <w:rFonts w:ascii="Times New Roman" w:hAnsi="Times New Roman"/>
          <w:sz w:val="24"/>
          <w:szCs w:val="24"/>
        </w:rPr>
      </w:pPr>
      <w:r w:rsidRPr="007B164F">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3CBFEC17"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w:t>
      </w:r>
      <w:r w:rsidR="00D654AA">
        <w:rPr>
          <w:rFonts w:ascii="Times New Roman" w:hAnsi="Times New Roman"/>
          <w:sz w:val="24"/>
          <w:szCs w:val="24"/>
        </w:rPr>
        <w:t xml:space="preserve"> </w:t>
      </w:r>
      <w:r w:rsidR="00A277C2">
        <w:rPr>
          <w:rFonts w:ascii="Times New Roman" w:hAnsi="Times New Roman"/>
          <w:sz w:val="24"/>
          <w:szCs w:val="24"/>
          <w:highlight w:val="yellow"/>
        </w:rPr>
        <w:t>(od 01.03.2022 do 28.02.2023</w:t>
      </w:r>
      <w:r w:rsidR="00D654AA" w:rsidRPr="009F4A1A">
        <w:rPr>
          <w:rFonts w:ascii="Times New Roman" w:hAnsi="Times New Roman"/>
          <w:sz w:val="24"/>
          <w:szCs w:val="24"/>
          <w:highlight w:val="yellow"/>
        </w:rPr>
        <w:t>)</w:t>
      </w:r>
      <w:r w:rsidR="00946A34" w:rsidRPr="00B33AE7">
        <w:rPr>
          <w:rFonts w:ascii="Times New Roman" w:hAnsi="Times New Roman"/>
          <w:sz w:val="24"/>
          <w:szCs w:val="24"/>
        </w:rPr>
        <w:t xml:space="preserve"> odo dňa nadobudnutia jej účinnosti</w:t>
      </w:r>
      <w:r w:rsidR="0074046F" w:rsidRPr="00B33AE7">
        <w:rPr>
          <w:rFonts w:ascii="Times New Roman" w:hAnsi="Times New Roman"/>
          <w:sz w:val="24"/>
          <w:szCs w:val="24"/>
        </w:rPr>
        <w:t>.</w:t>
      </w:r>
    </w:p>
    <w:p w14:paraId="52D05D84" w14:textId="6D8E6814"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D654AA">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0"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0"/>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549B87AB" w14:textId="3DC1F6CB" w:rsidR="00B92880" w:rsidRDefault="00B92880" w:rsidP="00C90EC8">
      <w:pPr>
        <w:spacing w:before="120" w:after="120" w:line="240" w:lineRule="auto"/>
        <w:rPr>
          <w:rFonts w:ascii="Times New Roman" w:hAnsi="Times New Roman" w:cs="Times New Roman"/>
          <w:b/>
          <w:sz w:val="24"/>
          <w:szCs w:val="24"/>
        </w:rPr>
      </w:pPr>
    </w:p>
    <w:p w14:paraId="1D0165F2" w14:textId="29D11190"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1ACA4B61"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E25B4D">
        <w:rPr>
          <w:rFonts w:ascii="Times New Roman" w:hAnsi="Times New Roman"/>
          <w:sz w:val="24"/>
          <w:szCs w:val="24"/>
        </w:rPr>
        <w:t xml:space="preserve"> p. </w:t>
      </w:r>
      <w:r w:rsidR="00E25B4D" w:rsidRPr="00E25B4D">
        <w:rPr>
          <w:rFonts w:ascii="Times New Roman" w:hAnsi="Times New Roman"/>
          <w:sz w:val="24"/>
          <w:szCs w:val="24"/>
        </w:rPr>
        <w:t xml:space="preserve">Martina Bahnová, </w:t>
      </w:r>
      <w:hyperlink r:id="rId9" w:history="1">
        <w:r w:rsidR="00E25B4D" w:rsidRPr="00E25B4D">
          <w:rPr>
            <w:rStyle w:val="Hypertextovprepojenie"/>
            <w:rFonts w:ascii="Times New Roman" w:hAnsi="Times New Roman"/>
            <w:color w:val="auto"/>
            <w:sz w:val="24"/>
            <w:szCs w:val="24"/>
          </w:rPr>
          <w:t>strava@pnkca.sk</w:t>
        </w:r>
      </w:hyperlink>
      <w:r w:rsidR="00E25B4D" w:rsidRPr="00E25B4D">
        <w:rPr>
          <w:rFonts w:ascii="Times New Roman" w:hAnsi="Times New Roman"/>
          <w:sz w:val="24"/>
          <w:szCs w:val="24"/>
        </w:rPr>
        <w:t xml:space="preserve">, 045/67 05 123; + 421 903 043 472, p. Zlatica </w:t>
      </w:r>
      <w:proofErr w:type="spellStart"/>
      <w:r w:rsidR="00E25B4D" w:rsidRPr="00E25B4D">
        <w:rPr>
          <w:rFonts w:ascii="Times New Roman" w:hAnsi="Times New Roman"/>
          <w:sz w:val="24"/>
          <w:szCs w:val="24"/>
        </w:rPr>
        <w:t>Šramelová</w:t>
      </w:r>
      <w:proofErr w:type="spellEnd"/>
      <w:r w:rsidR="00E25B4D" w:rsidRPr="00E25B4D">
        <w:rPr>
          <w:rFonts w:ascii="Times New Roman" w:hAnsi="Times New Roman"/>
          <w:sz w:val="24"/>
          <w:szCs w:val="24"/>
        </w:rPr>
        <w:t xml:space="preserve">, </w:t>
      </w:r>
      <w:hyperlink r:id="rId10" w:history="1">
        <w:r w:rsidR="00E25B4D" w:rsidRPr="00E25B4D">
          <w:rPr>
            <w:rStyle w:val="Hypertextovprepojenie"/>
            <w:rFonts w:ascii="Times New Roman" w:hAnsi="Times New Roman"/>
            <w:color w:val="auto"/>
            <w:sz w:val="24"/>
            <w:szCs w:val="24"/>
          </w:rPr>
          <w:t>zlatica.sramelova@pnkca.sk</w:t>
        </w:r>
      </w:hyperlink>
      <w:r w:rsidR="00E25B4D" w:rsidRPr="00E25B4D">
        <w:rPr>
          <w:rFonts w:ascii="Times New Roman" w:hAnsi="Times New Roman"/>
          <w:sz w:val="24"/>
          <w:szCs w:val="24"/>
        </w:rPr>
        <w:t xml:space="preserve"> a                           p. Monika </w:t>
      </w:r>
      <w:proofErr w:type="spellStart"/>
      <w:r w:rsidR="00E25B4D" w:rsidRPr="00E25B4D">
        <w:rPr>
          <w:rFonts w:ascii="Times New Roman" w:hAnsi="Times New Roman"/>
          <w:sz w:val="24"/>
          <w:szCs w:val="24"/>
        </w:rPr>
        <w:t>Dobiasová</w:t>
      </w:r>
      <w:proofErr w:type="spellEnd"/>
      <w:r w:rsidR="00E25B4D" w:rsidRPr="00E25B4D">
        <w:rPr>
          <w:rFonts w:ascii="Times New Roman" w:hAnsi="Times New Roman"/>
          <w:sz w:val="24"/>
          <w:szCs w:val="24"/>
        </w:rPr>
        <w:t xml:space="preserve">, </w:t>
      </w:r>
      <w:hyperlink r:id="rId11" w:history="1">
        <w:r w:rsidR="00E25B4D" w:rsidRPr="00E25B4D">
          <w:rPr>
            <w:rStyle w:val="Hypertextovprepojenie"/>
            <w:rFonts w:ascii="Times New Roman" w:hAnsi="Times New Roman"/>
            <w:color w:val="auto"/>
            <w:sz w:val="24"/>
            <w:szCs w:val="24"/>
          </w:rPr>
          <w:t>monika.dobiasova@pnkca.sk</w:t>
        </w:r>
      </w:hyperlink>
      <w:r w:rsidR="00E25B4D" w:rsidRPr="00E25B4D">
        <w:rPr>
          <w:rFonts w:ascii="Times New Roman" w:hAnsi="Times New Roman"/>
          <w:sz w:val="24"/>
          <w:szCs w:val="24"/>
          <w:u w:val="single"/>
        </w:rPr>
        <w:t xml:space="preserve">, </w:t>
      </w:r>
      <w:r w:rsidR="00E25B4D" w:rsidRPr="00E25B4D">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FD6651B" w14:textId="77777777" w:rsidR="00C90EC8" w:rsidRDefault="00C90EC8" w:rsidP="00B831C2">
      <w:pPr>
        <w:spacing w:before="120" w:after="120" w:line="240" w:lineRule="auto"/>
        <w:ind w:left="567" w:hanging="567"/>
        <w:jc w:val="center"/>
        <w:rPr>
          <w:rFonts w:ascii="Times New Roman" w:hAnsi="Times New Roman" w:cs="Times New Roman"/>
          <w:b/>
          <w:sz w:val="24"/>
          <w:szCs w:val="24"/>
        </w:rPr>
      </w:pPr>
    </w:p>
    <w:p w14:paraId="0C0DF53E" w14:textId="5525A27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21C6A64F" w14:textId="12DFEA7E" w:rsidR="00D654AA" w:rsidRPr="0072788A" w:rsidRDefault="00D654AA" w:rsidP="00C90EC8">
      <w:pPr>
        <w:spacing w:before="120" w:after="120" w:line="240" w:lineRule="auto"/>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1"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1"/>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56473B86"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 xml:space="preserve">ohoda je vyhotovená v </w:t>
      </w:r>
      <w:r w:rsidR="00A277C2">
        <w:rPr>
          <w:rFonts w:ascii="Times New Roman" w:hAnsi="Times New Roman"/>
          <w:sz w:val="24"/>
          <w:szCs w:val="24"/>
        </w:rPr>
        <w:t>štyroch</w:t>
      </w:r>
      <w:r w:rsidR="0072788A" w:rsidRPr="00B831C2">
        <w:rPr>
          <w:rFonts w:ascii="Times New Roman" w:hAnsi="Times New Roman"/>
          <w:sz w:val="24"/>
          <w:szCs w:val="24"/>
        </w:rPr>
        <w:t xml:space="preserve">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50232262"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D654AA">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D654AA">
        <w:rPr>
          <w:rFonts w:ascii="Times New Roman" w:hAnsi="Times New Roman" w:cs="Times New Roman"/>
          <w:sz w:val="24"/>
          <w:szCs w:val="24"/>
        </w:rPr>
        <w:tab/>
      </w:r>
      <w:r w:rsidR="00D654AA">
        <w:rPr>
          <w:rFonts w:ascii="Times New Roman" w:hAnsi="Times New Roman" w:cs="Times New Roman"/>
          <w:sz w:val="24"/>
          <w:szCs w:val="24"/>
        </w:rPr>
        <w:tab/>
      </w:r>
      <w:r w:rsidR="00D654AA">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2"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333397B3" w:rsidR="00086720" w:rsidRDefault="00086720" w:rsidP="00086720">
      <w:pPr>
        <w:spacing w:before="120" w:after="120" w:line="240" w:lineRule="auto"/>
        <w:jc w:val="both"/>
        <w:rPr>
          <w:rFonts w:ascii="Times New Roman" w:hAnsi="Times New Roman" w:cs="Times New Roman"/>
          <w:sz w:val="24"/>
          <w:szCs w:val="24"/>
        </w:rPr>
      </w:pPr>
    </w:p>
    <w:p w14:paraId="5D4F8325" w14:textId="4E670978" w:rsidR="00C90EC8" w:rsidRDefault="00C90EC8" w:rsidP="00086720">
      <w:pPr>
        <w:spacing w:before="120" w:after="120" w:line="240" w:lineRule="auto"/>
        <w:jc w:val="both"/>
        <w:rPr>
          <w:rFonts w:ascii="Times New Roman" w:hAnsi="Times New Roman" w:cs="Times New Roman"/>
          <w:sz w:val="24"/>
          <w:szCs w:val="24"/>
        </w:rPr>
      </w:pPr>
    </w:p>
    <w:p w14:paraId="61E31111" w14:textId="5F129629" w:rsidR="00C90EC8" w:rsidRDefault="00C90EC8" w:rsidP="00086720">
      <w:pPr>
        <w:spacing w:before="120" w:after="120" w:line="240" w:lineRule="auto"/>
        <w:jc w:val="both"/>
        <w:rPr>
          <w:rFonts w:ascii="Times New Roman" w:hAnsi="Times New Roman" w:cs="Times New Roman"/>
          <w:sz w:val="24"/>
          <w:szCs w:val="24"/>
        </w:rPr>
      </w:pPr>
    </w:p>
    <w:p w14:paraId="67178CB1" w14:textId="0D7D4E6D" w:rsidR="00C90EC8" w:rsidRDefault="00C90EC8" w:rsidP="00086720">
      <w:pPr>
        <w:spacing w:before="120" w:after="120" w:line="240" w:lineRule="auto"/>
        <w:jc w:val="both"/>
        <w:rPr>
          <w:rFonts w:ascii="Times New Roman" w:hAnsi="Times New Roman" w:cs="Times New Roman"/>
          <w:sz w:val="24"/>
          <w:szCs w:val="24"/>
        </w:rPr>
      </w:pPr>
    </w:p>
    <w:p w14:paraId="1B366332" w14:textId="10884677" w:rsidR="00C90EC8" w:rsidRDefault="00C90EC8" w:rsidP="00086720">
      <w:pPr>
        <w:spacing w:before="120" w:after="120" w:line="240" w:lineRule="auto"/>
        <w:jc w:val="both"/>
        <w:rPr>
          <w:rFonts w:ascii="Times New Roman" w:hAnsi="Times New Roman" w:cs="Times New Roman"/>
          <w:sz w:val="24"/>
          <w:szCs w:val="24"/>
        </w:rPr>
      </w:pPr>
    </w:p>
    <w:p w14:paraId="5703F9C7" w14:textId="4E922A1F" w:rsidR="00C90EC8" w:rsidRDefault="00C90EC8" w:rsidP="00086720">
      <w:pPr>
        <w:spacing w:before="120" w:after="120" w:line="240" w:lineRule="auto"/>
        <w:jc w:val="both"/>
        <w:rPr>
          <w:rFonts w:ascii="Times New Roman" w:hAnsi="Times New Roman" w:cs="Times New Roman"/>
          <w:sz w:val="24"/>
          <w:szCs w:val="24"/>
        </w:rPr>
      </w:pPr>
    </w:p>
    <w:p w14:paraId="5866D781" w14:textId="7C664D72" w:rsidR="00C90EC8" w:rsidRDefault="00C90EC8" w:rsidP="00086720">
      <w:pPr>
        <w:spacing w:before="120" w:after="120" w:line="240" w:lineRule="auto"/>
        <w:jc w:val="both"/>
        <w:rPr>
          <w:rFonts w:ascii="Times New Roman" w:hAnsi="Times New Roman" w:cs="Times New Roman"/>
          <w:sz w:val="24"/>
          <w:szCs w:val="24"/>
        </w:rPr>
      </w:pPr>
    </w:p>
    <w:p w14:paraId="7BB60998" w14:textId="119AFDBD" w:rsidR="00C90EC8" w:rsidRDefault="00C90EC8" w:rsidP="00086720">
      <w:pPr>
        <w:spacing w:before="120" w:after="120" w:line="240" w:lineRule="auto"/>
        <w:jc w:val="both"/>
        <w:rPr>
          <w:rFonts w:ascii="Times New Roman" w:hAnsi="Times New Roman" w:cs="Times New Roman"/>
          <w:sz w:val="24"/>
          <w:szCs w:val="24"/>
        </w:rPr>
      </w:pPr>
    </w:p>
    <w:p w14:paraId="0204F655" w14:textId="136AD6F9" w:rsidR="00C90EC8" w:rsidRDefault="00C90EC8" w:rsidP="00086720">
      <w:pPr>
        <w:spacing w:before="120" w:after="120" w:line="240" w:lineRule="auto"/>
        <w:jc w:val="both"/>
        <w:rPr>
          <w:rFonts w:ascii="Times New Roman" w:hAnsi="Times New Roman" w:cs="Times New Roman"/>
          <w:sz w:val="24"/>
          <w:szCs w:val="24"/>
        </w:rPr>
      </w:pPr>
    </w:p>
    <w:p w14:paraId="04C5DBDD" w14:textId="359069C1" w:rsidR="00C90EC8" w:rsidRDefault="00C90EC8" w:rsidP="00086720">
      <w:pPr>
        <w:spacing w:before="120" w:after="120" w:line="240" w:lineRule="auto"/>
        <w:jc w:val="both"/>
        <w:rPr>
          <w:rFonts w:ascii="Times New Roman" w:hAnsi="Times New Roman" w:cs="Times New Roman"/>
          <w:sz w:val="24"/>
          <w:szCs w:val="24"/>
        </w:rPr>
      </w:pPr>
    </w:p>
    <w:p w14:paraId="0035DAFF" w14:textId="77777777" w:rsidR="00C90EC8" w:rsidRPr="0072788A" w:rsidRDefault="00C90EC8" w:rsidP="00086720">
      <w:pPr>
        <w:spacing w:before="120" w:after="120" w:line="240" w:lineRule="auto"/>
        <w:jc w:val="both"/>
        <w:rPr>
          <w:rFonts w:ascii="Times New Roman" w:hAnsi="Times New Roman" w:cs="Times New Roman"/>
          <w:sz w:val="24"/>
          <w:szCs w:val="24"/>
        </w:rPr>
      </w:pPr>
      <w:bookmarkStart w:id="3" w:name="_GoBack"/>
      <w:bookmarkEnd w:id="3"/>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2"/>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11539" w14:textId="77777777" w:rsidR="006211B9" w:rsidRDefault="006211B9" w:rsidP="0072788A">
      <w:pPr>
        <w:spacing w:after="0" w:line="240" w:lineRule="auto"/>
      </w:pPr>
      <w:r>
        <w:separator/>
      </w:r>
    </w:p>
  </w:endnote>
  <w:endnote w:type="continuationSeparator" w:id="0">
    <w:p w14:paraId="5505D575" w14:textId="77777777" w:rsidR="006211B9" w:rsidRDefault="006211B9"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465A7" w14:textId="77777777" w:rsidR="006211B9" w:rsidRDefault="006211B9" w:rsidP="0072788A">
      <w:pPr>
        <w:spacing w:after="0" w:line="240" w:lineRule="auto"/>
      </w:pPr>
      <w:r>
        <w:separator/>
      </w:r>
    </w:p>
  </w:footnote>
  <w:footnote w:type="continuationSeparator" w:id="0">
    <w:p w14:paraId="691DEA35" w14:textId="77777777" w:rsidR="006211B9" w:rsidRDefault="006211B9"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6720"/>
    <w:rsid w:val="000C63C9"/>
    <w:rsid w:val="000D35C9"/>
    <w:rsid w:val="000D6463"/>
    <w:rsid w:val="000E11C5"/>
    <w:rsid w:val="000E3764"/>
    <w:rsid w:val="000E3918"/>
    <w:rsid w:val="0010384F"/>
    <w:rsid w:val="00106B50"/>
    <w:rsid w:val="00107471"/>
    <w:rsid w:val="00126E75"/>
    <w:rsid w:val="0014090F"/>
    <w:rsid w:val="00146AF4"/>
    <w:rsid w:val="00155989"/>
    <w:rsid w:val="00163C72"/>
    <w:rsid w:val="00163CBB"/>
    <w:rsid w:val="001646E6"/>
    <w:rsid w:val="001A1F58"/>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20539"/>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0E90"/>
    <w:rsid w:val="00474E4B"/>
    <w:rsid w:val="004804F8"/>
    <w:rsid w:val="0048539D"/>
    <w:rsid w:val="00487E00"/>
    <w:rsid w:val="0049122E"/>
    <w:rsid w:val="004A0FFD"/>
    <w:rsid w:val="004A5FBE"/>
    <w:rsid w:val="004C3095"/>
    <w:rsid w:val="004C5802"/>
    <w:rsid w:val="004D5CDC"/>
    <w:rsid w:val="004F1394"/>
    <w:rsid w:val="004F2F91"/>
    <w:rsid w:val="004F7607"/>
    <w:rsid w:val="005026D5"/>
    <w:rsid w:val="0051188A"/>
    <w:rsid w:val="0051414B"/>
    <w:rsid w:val="0051458B"/>
    <w:rsid w:val="00514FCB"/>
    <w:rsid w:val="005228AD"/>
    <w:rsid w:val="0053162F"/>
    <w:rsid w:val="00537430"/>
    <w:rsid w:val="00556FCB"/>
    <w:rsid w:val="00562B16"/>
    <w:rsid w:val="00591D7E"/>
    <w:rsid w:val="00597598"/>
    <w:rsid w:val="00597B49"/>
    <w:rsid w:val="005A4E34"/>
    <w:rsid w:val="005A602E"/>
    <w:rsid w:val="005C0BE7"/>
    <w:rsid w:val="005C1F83"/>
    <w:rsid w:val="005D5BA4"/>
    <w:rsid w:val="005E326D"/>
    <w:rsid w:val="005E5E33"/>
    <w:rsid w:val="005F44C1"/>
    <w:rsid w:val="005F47CC"/>
    <w:rsid w:val="00612C46"/>
    <w:rsid w:val="00613E81"/>
    <w:rsid w:val="0061797E"/>
    <w:rsid w:val="00617E36"/>
    <w:rsid w:val="006211B9"/>
    <w:rsid w:val="00625504"/>
    <w:rsid w:val="00641E17"/>
    <w:rsid w:val="00670168"/>
    <w:rsid w:val="00686863"/>
    <w:rsid w:val="006A582E"/>
    <w:rsid w:val="006A5F0A"/>
    <w:rsid w:val="006B06C2"/>
    <w:rsid w:val="006B423F"/>
    <w:rsid w:val="006B4636"/>
    <w:rsid w:val="006B6F78"/>
    <w:rsid w:val="006C2D80"/>
    <w:rsid w:val="006D309E"/>
    <w:rsid w:val="006D5414"/>
    <w:rsid w:val="006F2755"/>
    <w:rsid w:val="006F6246"/>
    <w:rsid w:val="006F70C2"/>
    <w:rsid w:val="00703816"/>
    <w:rsid w:val="00723D86"/>
    <w:rsid w:val="0072788A"/>
    <w:rsid w:val="0074046F"/>
    <w:rsid w:val="00747FFB"/>
    <w:rsid w:val="00762752"/>
    <w:rsid w:val="007740A8"/>
    <w:rsid w:val="00776EEF"/>
    <w:rsid w:val="007814DB"/>
    <w:rsid w:val="007840B3"/>
    <w:rsid w:val="007A1857"/>
    <w:rsid w:val="007B0B2D"/>
    <w:rsid w:val="007B164F"/>
    <w:rsid w:val="007D4250"/>
    <w:rsid w:val="007F0654"/>
    <w:rsid w:val="007F32FA"/>
    <w:rsid w:val="00802045"/>
    <w:rsid w:val="00827CB5"/>
    <w:rsid w:val="008359A6"/>
    <w:rsid w:val="0084796B"/>
    <w:rsid w:val="00847D14"/>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F2F2B"/>
    <w:rsid w:val="0090047D"/>
    <w:rsid w:val="00913A89"/>
    <w:rsid w:val="0091639B"/>
    <w:rsid w:val="00925B89"/>
    <w:rsid w:val="00946A34"/>
    <w:rsid w:val="00952F2B"/>
    <w:rsid w:val="009671C5"/>
    <w:rsid w:val="00967B26"/>
    <w:rsid w:val="009709C9"/>
    <w:rsid w:val="00973CDA"/>
    <w:rsid w:val="009810D6"/>
    <w:rsid w:val="009B55B2"/>
    <w:rsid w:val="009C0BB0"/>
    <w:rsid w:val="009C549E"/>
    <w:rsid w:val="009D3D34"/>
    <w:rsid w:val="009D6D78"/>
    <w:rsid w:val="009E184A"/>
    <w:rsid w:val="009E4603"/>
    <w:rsid w:val="00A1290B"/>
    <w:rsid w:val="00A159EC"/>
    <w:rsid w:val="00A16C01"/>
    <w:rsid w:val="00A23A62"/>
    <w:rsid w:val="00A277C2"/>
    <w:rsid w:val="00A30E7F"/>
    <w:rsid w:val="00A3120A"/>
    <w:rsid w:val="00A32F86"/>
    <w:rsid w:val="00A46B19"/>
    <w:rsid w:val="00A50629"/>
    <w:rsid w:val="00A6352D"/>
    <w:rsid w:val="00A64C40"/>
    <w:rsid w:val="00A64E86"/>
    <w:rsid w:val="00A727A0"/>
    <w:rsid w:val="00A74452"/>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195C"/>
    <w:rsid w:val="00B036EB"/>
    <w:rsid w:val="00B33AE7"/>
    <w:rsid w:val="00B44F79"/>
    <w:rsid w:val="00B64A87"/>
    <w:rsid w:val="00B665FB"/>
    <w:rsid w:val="00B67C34"/>
    <w:rsid w:val="00B72A8E"/>
    <w:rsid w:val="00B7331F"/>
    <w:rsid w:val="00B77B5E"/>
    <w:rsid w:val="00B831C2"/>
    <w:rsid w:val="00B866B1"/>
    <w:rsid w:val="00B92880"/>
    <w:rsid w:val="00BA1AF2"/>
    <w:rsid w:val="00BA2A7A"/>
    <w:rsid w:val="00BC136A"/>
    <w:rsid w:val="00BD6585"/>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90EC8"/>
    <w:rsid w:val="00CA2F8A"/>
    <w:rsid w:val="00CB6524"/>
    <w:rsid w:val="00CC2B90"/>
    <w:rsid w:val="00CC42D8"/>
    <w:rsid w:val="00CC4C67"/>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654AA"/>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5B4D"/>
    <w:rsid w:val="00E26CEA"/>
    <w:rsid w:val="00E32413"/>
    <w:rsid w:val="00E32F5F"/>
    <w:rsid w:val="00E4596D"/>
    <w:rsid w:val="00E53EAA"/>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7027">
      <w:bodyDiv w:val="1"/>
      <w:marLeft w:val="0"/>
      <w:marRight w:val="0"/>
      <w:marTop w:val="0"/>
      <w:marBottom w:val="0"/>
      <w:divBdr>
        <w:top w:val="none" w:sz="0" w:space="0" w:color="auto"/>
        <w:left w:val="none" w:sz="0" w:space="0" w:color="auto"/>
        <w:bottom w:val="none" w:sz="0" w:space="0" w:color="auto"/>
        <w:right w:val="none" w:sz="0" w:space="0" w:color="auto"/>
      </w:divBdr>
    </w:div>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24C31-F593-4B1C-A759-97252E58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4437</Words>
  <Characters>25296</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4</cp:revision>
  <dcterms:created xsi:type="dcterms:W3CDTF">2021-11-30T01:18:00Z</dcterms:created>
  <dcterms:modified xsi:type="dcterms:W3CDTF">2021-12-17T10:47:00Z</dcterms:modified>
</cp:coreProperties>
</file>