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22" w:rsidRPr="009C6596" w:rsidRDefault="00A64F22" w:rsidP="00A64F22">
      <w:pPr>
        <w:pStyle w:val="Odsekzoznamu"/>
        <w:tabs>
          <w:tab w:val="num" w:pos="1080"/>
          <w:tab w:val="left" w:leader="dot" w:pos="10034"/>
        </w:tabs>
        <w:spacing w:before="120" w:after="120"/>
        <w:ind w:left="432"/>
        <w:rPr>
          <w:rFonts w:ascii="Arial Narrow" w:hAnsi="Arial Narrow" w:cs="Arial"/>
        </w:rPr>
      </w:pPr>
      <w:r>
        <w:rPr>
          <w:rFonts w:ascii="Arial Narrow" w:hAnsi="Arial Narrow" w:cs="Arial"/>
        </w:rPr>
        <w:t xml:space="preserve">                                                                                                                                   </w:t>
      </w:r>
      <w:r w:rsidRPr="009C6596">
        <w:rPr>
          <w:rFonts w:ascii="Arial Narrow" w:hAnsi="Arial Narrow" w:cs="Arial"/>
        </w:rPr>
        <w:t>Príloha č. 1 súťažných podkladov</w:t>
      </w: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p w:rsidR="00A64F22" w:rsidRPr="00157294" w:rsidRDefault="00A64F22" w:rsidP="00A64F22">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A64F22" w:rsidRPr="00EC2537" w:rsidTr="0049157A">
        <w:trPr>
          <w:trHeight w:val="2700"/>
        </w:trPr>
        <w:tc>
          <w:tcPr>
            <w:tcW w:w="9073" w:type="dxa"/>
          </w:tcPr>
          <w:p w:rsidR="00A64F22" w:rsidRPr="0031184F" w:rsidRDefault="00A64F22" w:rsidP="0049157A">
            <w:pPr>
              <w:widowControl w:val="0"/>
              <w:autoSpaceDE w:val="0"/>
              <w:autoSpaceDN w:val="0"/>
              <w:adjustRightInd w:val="0"/>
              <w:jc w:val="both"/>
              <w:rPr>
                <w:rFonts w:ascii="Arial Narrow" w:hAnsi="Arial Narrow" w:cs="Arial"/>
                <w:sz w:val="22"/>
              </w:rPr>
            </w:pPr>
          </w:p>
          <w:p w:rsidR="00A64F22" w:rsidRPr="0031184F" w:rsidRDefault="00A64F22" w:rsidP="0049157A">
            <w:pPr>
              <w:widowControl w:val="0"/>
              <w:autoSpaceDE w:val="0"/>
              <w:autoSpaceDN w:val="0"/>
              <w:adjustRightInd w:val="0"/>
              <w:jc w:val="both"/>
              <w:rPr>
                <w:rFonts w:ascii="Arial Narrow" w:hAnsi="Arial Narrow" w:cs="Arial"/>
                <w:sz w:val="22"/>
              </w:rPr>
            </w:pPr>
          </w:p>
          <w:p w:rsidR="00A64F22" w:rsidRPr="0031184F" w:rsidRDefault="00A64F22" w:rsidP="0049157A">
            <w:pPr>
              <w:widowControl w:val="0"/>
              <w:autoSpaceDE w:val="0"/>
              <w:autoSpaceDN w:val="0"/>
              <w:adjustRightInd w:val="0"/>
              <w:jc w:val="both"/>
              <w:rPr>
                <w:rFonts w:ascii="Arial Narrow" w:hAnsi="Arial Narrow" w:cs="Arial"/>
                <w:sz w:val="22"/>
              </w:rPr>
            </w:pPr>
          </w:p>
          <w:p w:rsidR="00A64F22" w:rsidRPr="00EC2537" w:rsidRDefault="00A64F22" w:rsidP="0049157A">
            <w:pPr>
              <w:tabs>
                <w:tab w:val="num" w:pos="1080"/>
                <w:tab w:val="left" w:leader="dot" w:pos="10034"/>
              </w:tabs>
              <w:spacing w:before="120"/>
              <w:jc w:val="center"/>
              <w:rPr>
                <w:rFonts w:ascii="Arial Narrow" w:hAnsi="Arial Narrow" w:cs="Arial"/>
              </w:rPr>
            </w:pPr>
            <w:r w:rsidRPr="00483543">
              <w:rPr>
                <w:rFonts w:ascii="Arial Narrow" w:hAnsi="Arial Narrow" w:cs="Arial"/>
                <w:b/>
                <w:smallCaps/>
                <w:sz w:val="24"/>
                <w:szCs w:val="24"/>
              </w:rPr>
              <w:t>opis predmetu zákazky</w:t>
            </w:r>
          </w:p>
          <w:p w:rsidR="00A64F22" w:rsidRPr="00EC2537" w:rsidRDefault="00A64F22" w:rsidP="0049157A">
            <w:pPr>
              <w:tabs>
                <w:tab w:val="num" w:pos="1080"/>
                <w:tab w:val="left" w:leader="dot" w:pos="10034"/>
              </w:tabs>
              <w:spacing w:before="120"/>
              <w:jc w:val="center"/>
              <w:rPr>
                <w:rFonts w:ascii="Arial Narrow" w:hAnsi="Arial Narrow" w:cs="Arial"/>
              </w:rPr>
            </w:pPr>
          </w:p>
        </w:tc>
      </w:tr>
    </w:tbl>
    <w:p w:rsidR="00A64F22" w:rsidRDefault="00A64F22" w:rsidP="00A64F22">
      <w:pPr>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Default="00A64F22" w:rsidP="00A64F22">
      <w:pPr>
        <w:ind w:left="360"/>
        <w:jc w:val="both"/>
        <w:rPr>
          <w:rFonts w:ascii="Arial Narrow" w:hAnsi="Arial Narrow"/>
          <w:sz w:val="22"/>
        </w:rPr>
      </w:pPr>
    </w:p>
    <w:p w:rsidR="00A64F22" w:rsidRPr="00EF0355" w:rsidRDefault="00A64F22" w:rsidP="00A64F22">
      <w:pPr>
        <w:ind w:left="574"/>
        <w:jc w:val="center"/>
        <w:rPr>
          <w:rFonts w:ascii="Arial Narrow" w:hAnsi="Arial Narrow"/>
          <w:b/>
          <w:sz w:val="22"/>
        </w:rPr>
      </w:pPr>
      <w:r w:rsidRPr="00EF0355">
        <w:rPr>
          <w:rFonts w:ascii="Arial Narrow" w:hAnsi="Arial Narrow"/>
          <w:b/>
          <w:spacing w:val="-3"/>
          <w:sz w:val="22"/>
        </w:rPr>
        <w:lastRenderedPageBreak/>
        <w:t xml:space="preserve"> </w:t>
      </w:r>
      <w:r>
        <w:rPr>
          <w:rFonts w:ascii="Arial Narrow" w:hAnsi="Arial Narrow"/>
          <w:b/>
          <w:sz w:val="22"/>
        </w:rPr>
        <w:t>O</w:t>
      </w:r>
      <w:r w:rsidRPr="00EF0355">
        <w:rPr>
          <w:rFonts w:ascii="Arial Narrow" w:hAnsi="Arial Narrow"/>
          <w:b/>
          <w:sz w:val="22"/>
        </w:rPr>
        <w:t>pis</w:t>
      </w:r>
      <w:r w:rsidRPr="00EF0355">
        <w:rPr>
          <w:rFonts w:ascii="Arial Narrow" w:hAnsi="Arial Narrow"/>
          <w:b/>
          <w:spacing w:val="-1"/>
          <w:sz w:val="22"/>
        </w:rPr>
        <w:t xml:space="preserve"> </w:t>
      </w:r>
      <w:r w:rsidRPr="00EF0355">
        <w:rPr>
          <w:rFonts w:ascii="Arial Narrow" w:hAnsi="Arial Narrow"/>
          <w:b/>
          <w:sz w:val="22"/>
        </w:rPr>
        <w:t>pre</w:t>
      </w:r>
      <w:r w:rsidRPr="00EF0355">
        <w:rPr>
          <w:rFonts w:ascii="Arial Narrow" w:hAnsi="Arial Narrow"/>
          <w:b/>
          <w:spacing w:val="-3"/>
          <w:sz w:val="22"/>
        </w:rPr>
        <w:t>d</w:t>
      </w:r>
      <w:r w:rsidRPr="00EF0355">
        <w:rPr>
          <w:rFonts w:ascii="Arial Narrow" w:hAnsi="Arial Narrow"/>
          <w:b/>
          <w:spacing w:val="1"/>
          <w:sz w:val="22"/>
        </w:rPr>
        <w:t>m</w:t>
      </w:r>
      <w:r w:rsidRPr="00EF0355">
        <w:rPr>
          <w:rFonts w:ascii="Arial Narrow" w:hAnsi="Arial Narrow"/>
          <w:b/>
          <w:spacing w:val="-2"/>
          <w:sz w:val="22"/>
        </w:rPr>
        <w:t>e</w:t>
      </w:r>
      <w:r w:rsidRPr="00EF0355">
        <w:rPr>
          <w:rFonts w:ascii="Arial Narrow" w:hAnsi="Arial Narrow"/>
          <w:b/>
          <w:spacing w:val="1"/>
          <w:sz w:val="22"/>
        </w:rPr>
        <w:t>t</w:t>
      </w:r>
      <w:r w:rsidRPr="00EF0355">
        <w:rPr>
          <w:rFonts w:ascii="Arial Narrow" w:hAnsi="Arial Narrow"/>
          <w:b/>
          <w:sz w:val="22"/>
        </w:rPr>
        <w:t xml:space="preserve">u </w:t>
      </w:r>
      <w:r w:rsidRPr="00EF0355">
        <w:rPr>
          <w:rFonts w:ascii="Arial Narrow" w:hAnsi="Arial Narrow"/>
          <w:b/>
          <w:spacing w:val="-2"/>
          <w:sz w:val="22"/>
        </w:rPr>
        <w:t>z</w:t>
      </w:r>
      <w:r w:rsidRPr="00EF0355">
        <w:rPr>
          <w:rFonts w:ascii="Arial Narrow" w:hAnsi="Arial Narrow"/>
          <w:b/>
          <w:sz w:val="22"/>
        </w:rPr>
        <w:t>áka</w:t>
      </w:r>
      <w:r w:rsidRPr="00EF0355">
        <w:rPr>
          <w:rFonts w:ascii="Arial Narrow" w:hAnsi="Arial Narrow"/>
          <w:b/>
          <w:spacing w:val="-2"/>
          <w:sz w:val="22"/>
        </w:rPr>
        <w:t>z</w:t>
      </w:r>
      <w:r w:rsidRPr="00EF0355">
        <w:rPr>
          <w:rFonts w:ascii="Arial Narrow" w:hAnsi="Arial Narrow"/>
          <w:b/>
          <w:sz w:val="22"/>
        </w:rPr>
        <w:t>ky</w:t>
      </w:r>
    </w:p>
    <w:p w:rsidR="00A64F22" w:rsidRPr="00EF0355" w:rsidRDefault="00A64F22" w:rsidP="00A64F22">
      <w:pPr>
        <w:autoSpaceDE w:val="0"/>
        <w:autoSpaceDN w:val="0"/>
        <w:adjustRightInd w:val="0"/>
        <w:jc w:val="both"/>
        <w:rPr>
          <w:rFonts w:ascii="Arial Narrow" w:hAnsi="Arial Narrow"/>
          <w:sz w:val="22"/>
        </w:rPr>
      </w:pPr>
      <w:r w:rsidRPr="00EF0355">
        <w:rPr>
          <w:rFonts w:ascii="Arial Narrow" w:hAnsi="Arial Narrow"/>
          <w:sz w:val="22"/>
        </w:rPr>
        <w:t>Kontroly, tlakové skúšky a opravy hasiacich prístrojov</w:t>
      </w:r>
      <w:r w:rsidRPr="00EF0355" w:rsidDel="00E2434B">
        <w:rPr>
          <w:rFonts w:ascii="Arial Narrow" w:hAnsi="Arial Narrow"/>
          <w:sz w:val="22"/>
        </w:rPr>
        <w:t xml:space="preserve"> </w:t>
      </w:r>
      <w:r w:rsidRPr="00EF0355">
        <w:rPr>
          <w:rFonts w:ascii="Arial Narrow" w:hAnsi="Arial Narrow"/>
          <w:sz w:val="22"/>
        </w:rPr>
        <w:t xml:space="preserve">v súlade s ustanoveniami vyhlášky Ministerstva vnútra Slovenskej republiky č. 719/2002 Z. z. v znení neskorších predpisov, ktorou sa ustanovujú vlastnosti, podmienky prevádzkovania a zabezpečenia pravidelnej kontroly prenosných hasiacich prístrojov a pojazdných hasiacich prístrojov ( ďalej len „vyhláška MV SR č. 719/2002“) a vyhlášky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kontroly zariadení na dodávku vody na hasenie požiarov po ich odovzdaní do užívania (vnútorných, vonkajších hydrantov) a tlakové skúšky požiarnych hadíc v súlade s ustanoveniami vyhlášky Ministerstva vnútra Slovenskej republiky č. 699/2004 Z . z.  o zabezpečení stavieb vodou na hasenie požiarov (ďalej len „vyhláška MV SR č. 699/2004“) a údržby a prehliadky požiarnych uzáverov podľa vyhlášky </w:t>
      </w:r>
      <w:r w:rsidRPr="00EF0355">
        <w:rPr>
          <w:rFonts w:ascii="Arial Narrow" w:hAnsi="Arial Narrow"/>
          <w:bCs/>
          <w:sz w:val="22"/>
        </w:rPr>
        <w:t xml:space="preserve">Ministerstva vnútra Slovenskej republiky č. 478/2008 Z.z. o vlastnostiach, konkrétnych podmienkach prevádzkovania a zabezpečenia pravidelnej kontroly požiarneho uzáveru (ďalej len „vyhláška MV SR č. 478/2008“) a v súlade s dokumentáciou výrobcu </w:t>
      </w:r>
      <w:r w:rsidRPr="00EF0355">
        <w:rPr>
          <w:rFonts w:ascii="Arial Narrow" w:hAnsi="Arial Narrow"/>
          <w:sz w:val="22"/>
        </w:rPr>
        <w:t xml:space="preserve">v objektoch a služobných cestných vozidlách Ministerstva vnútra Slovenskej republiky. </w:t>
      </w:r>
    </w:p>
    <w:p w:rsidR="00A64F22" w:rsidRPr="00EF0355" w:rsidRDefault="00A64F22" w:rsidP="00A64F22">
      <w:pPr>
        <w:numPr>
          <w:ilvl w:val="0"/>
          <w:numId w:val="6"/>
        </w:numPr>
        <w:autoSpaceDE w:val="0"/>
        <w:autoSpaceDN w:val="0"/>
        <w:adjustRightInd w:val="0"/>
        <w:spacing w:after="0" w:line="240" w:lineRule="auto"/>
        <w:jc w:val="both"/>
        <w:rPr>
          <w:rFonts w:ascii="Arial Narrow" w:hAnsi="Arial Narrow"/>
          <w:bCs/>
          <w:sz w:val="22"/>
        </w:rPr>
      </w:pPr>
      <w:r w:rsidRPr="00EF0355">
        <w:rPr>
          <w:rFonts w:ascii="Arial Narrow" w:hAnsi="Arial Narrow"/>
          <w:b/>
          <w:bCs/>
          <w:sz w:val="22"/>
          <w:u w:val="single"/>
        </w:rPr>
        <w:t>OBSAH KONTROLY PRENOSNÉHO HASIACEHO PRÍSTROJA A POJAZDNÉHO HASIACEHO PRÍSTROJA  (príloha č.4 vyhlášky MV SR č.719/2002)</w:t>
      </w:r>
    </w:p>
    <w:p w:rsidR="00A64F22" w:rsidRPr="00EF0355" w:rsidRDefault="00A64F22" w:rsidP="00A64F22">
      <w:pPr>
        <w:autoSpaceDE w:val="0"/>
        <w:autoSpaceDN w:val="0"/>
        <w:adjustRightInd w:val="0"/>
        <w:jc w:val="both"/>
        <w:rPr>
          <w:rFonts w:ascii="Arial Narrow" w:hAnsi="Arial Narrow"/>
          <w:sz w:val="22"/>
        </w:rPr>
      </w:pPr>
    </w:p>
    <w:p w:rsidR="00A64F22" w:rsidRPr="00EF0355" w:rsidRDefault="00A64F22" w:rsidP="00A64F22">
      <w:pPr>
        <w:autoSpaceDE w:val="0"/>
        <w:autoSpaceDN w:val="0"/>
        <w:adjustRightInd w:val="0"/>
        <w:jc w:val="both"/>
        <w:rPr>
          <w:rFonts w:ascii="Arial Narrow" w:hAnsi="Arial Narrow"/>
          <w:b/>
          <w:sz w:val="22"/>
        </w:rPr>
      </w:pPr>
      <w:r w:rsidRPr="00EF0355">
        <w:rPr>
          <w:rFonts w:ascii="Arial Narrow" w:hAnsi="Arial Narrow"/>
          <w:b/>
          <w:sz w:val="22"/>
        </w:rPr>
        <w:t>1.1 Kontrola prenosného hasiaceho prístroja s hasiacou látkou pod trvalým tlakom výtlačného plynu umiestneného priamo v tlakovej nádobe prenosného hasiaceho prístroja zahŕňa: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optické posúdenie vonkajšieho povrchu tlakovej nádoby hasiaceho prístroja;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meranie tlaku kontrolným prístrojom a porovnanie zistenej hodnoty s údajom na manometri hasiaceho prístroja alebo s údajom o prevádzkovom tlaku ustanovenom výrobcom hasiaceho prístroja;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 priechodnosti a funkčnosti prúdnice hasiaceho prístroja;</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upevnenia držiaka na zvislej stavebnej konštrukcii;</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uchytenia hasiaceho prístroja v držiaku;</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umiestnenie plomby na hasiacom prístroji;</w:t>
      </w:r>
    </w:p>
    <w:p w:rsidR="00A64F22" w:rsidRPr="00EF0355" w:rsidRDefault="00A64F22" w:rsidP="00A64F22">
      <w:pPr>
        <w:numPr>
          <w:ilvl w:val="0"/>
          <w:numId w:val="4"/>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b/>
          <w:sz w:val="22"/>
        </w:rPr>
      </w:pPr>
      <w:r w:rsidRPr="00EF0355">
        <w:rPr>
          <w:rFonts w:ascii="Arial Narrow" w:hAnsi="Arial Narrow"/>
          <w:b/>
          <w:sz w:val="22"/>
        </w:rPr>
        <w:t>1.2 Kontrola prenosného hasiaceho prístroja s hasiacou látkou, ktorá nie je pod trvalým tlakom výtlačného plynu a výtlačný plyn je umiestnený v samostatnej tlakovej patróne, zahŕňa: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optické posúdenie vonkajšieho a vnútorného povrchu tlakovej nádoby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posúdenie kvality hasiacej látky v hasiacom prístroji;</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hmotnosti tlakovej patróny v hasiacom prístroji;</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priechodnosti a funkčnosti prúdnice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 xml:space="preserve">kontrolu bezpečnostného zariadenia brániaceho </w:t>
      </w:r>
      <w:proofErr w:type="spellStart"/>
      <w:r w:rsidRPr="00EF0355">
        <w:rPr>
          <w:rFonts w:ascii="Arial Narrow" w:hAnsi="Arial Narrow"/>
          <w:sz w:val="22"/>
        </w:rPr>
        <w:t>nežiadúcemu</w:t>
      </w:r>
      <w:proofErr w:type="spellEnd"/>
      <w:r w:rsidRPr="00EF0355">
        <w:rPr>
          <w:rFonts w:ascii="Arial Narrow" w:hAnsi="Arial Narrow"/>
          <w:sz w:val="22"/>
        </w:rPr>
        <w:t xml:space="preserve"> spusteniu;</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bezpečnostného zariadenia proti pretlaku;</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spúšťacieho mechanizmu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ovládacej armatúry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čistoty filtra;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priechodnosti stúpacej rúrky hasiaceho prístroja;</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lastRenderedPageBreak/>
        <w:t>kontrolu upevnenia držiaka na zvislej stavebnej konštrukcii;</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uchytenia hasiaceho prístroja v držiaku;</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umiestnenie plomby na hasiacom prístroji;</w:t>
      </w:r>
    </w:p>
    <w:p w:rsidR="00A64F22" w:rsidRPr="00EF0355" w:rsidRDefault="00A64F22" w:rsidP="00A64F22">
      <w:pPr>
        <w:numPr>
          <w:ilvl w:val="0"/>
          <w:numId w:val="5"/>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sz w:val="22"/>
        </w:rPr>
        <w:t>Kontrola prenosného hasiaceho prístroja, ktorý je uvedený v § 2 ods. 2 písm. d)  vyhlášky  MV SR č.719/2002 zahŕňa: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optické posúdenie vonkajšieho povrchu tlakovej nádoby hasiaceho prístroja;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hmotnosti prístroja;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priechodnosti a funkčnosti prúdnice hasiaceho prístroja;</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upevnenia držiaka na zvislej stavebnej konštrukcii;</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uchytenia hasiaceho prístroja v držiaku;</w:t>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umiestnenie plomby na hasiacom prístroji</w:t>
      </w:r>
      <w:r w:rsidRPr="00EF0355">
        <w:rPr>
          <w:rFonts w:ascii="Arial Narrow" w:hAnsi="Arial Narrow"/>
          <w:sz w:val="22"/>
        </w:rPr>
        <w:tab/>
      </w:r>
    </w:p>
    <w:p w:rsidR="00A64F22" w:rsidRPr="00EF0355" w:rsidRDefault="00A64F22" w:rsidP="00A64F22">
      <w:pPr>
        <w:numPr>
          <w:ilvl w:val="0"/>
          <w:numId w:val="7"/>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b/>
          <w:sz w:val="22"/>
        </w:rPr>
      </w:pPr>
      <w:r w:rsidRPr="00EF0355">
        <w:rPr>
          <w:rFonts w:ascii="Arial Narrow" w:hAnsi="Arial Narrow"/>
          <w:b/>
          <w:sz w:val="22"/>
        </w:rPr>
        <w:t>1.3 Kontrola pojazdného hasiaceho prístroja s hasiacou látkou pod trvalým tlakom výtlačného plynu umiestneného priamo v tlakovej nádobe pojazdného hasiaceho prístroja zahŕňa: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optické posúdenie vonkajšieho povrchu tlakovej nádoby hasiaceho prístroja;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meranie tlaku kontrolným prístrojom a porovnanie zistenej hodnoty s údajom na manometri hasiaceho prístroja alebo s údajom o prevádzkovom tlaku ustanovenom výrobcom;</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neporušenosti, priechodnosti a funkčnosti prúdnice hasiaceho prístroja;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ručného vozíka;</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kontrolu kompletnosti prípojného vozidla a kontrolu vykonania kontroly technického stavu vozidla na stanici technickej kontroly, umiestnenie plomby;</w:t>
      </w:r>
    </w:p>
    <w:p w:rsidR="00A64F22" w:rsidRPr="00EF0355" w:rsidRDefault="00A64F22" w:rsidP="00A64F22">
      <w:pPr>
        <w:numPr>
          <w:ilvl w:val="0"/>
          <w:numId w:val="8"/>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b/>
          <w:sz w:val="22"/>
        </w:rPr>
        <w:t>1.4 Kontrola pojazdného hasiaceho prístroja s hasiacou látkou, ktorá nie je pod trvalým tlakom výtlačného plynu a výtlačný plyn je umiestnený v samostatnej tlakovej patróne, zahŕňa: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optické posúdenie vonkajšieho a vnútorného povrchu tlakovej nádoby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posúdenie kvality hasiacej látky v hasiacom prístroji;</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a hmotnosti tlakovej patróny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priechodnosti a funkčnosti prúdnice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bezpečnostného zariadenia brániaceho nežiaducemu spusteniu;</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bezpečnostného zariadenia proti pretlaku v hasiacom prístroji;</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spúšťacieho mechanizmu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ovládacej armatúry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čistoty filtra;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a priechodnosti stúpacej rúrky hasiaceho prístroja;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lastRenderedPageBreak/>
        <w:t>kontrolu kompletnosti ručného vozíka;</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kompletnosti prípojného vozidla a kontrolu vykonania kontroly technického stavu vozidla na stanici technickej kontroly, umiestnenie plomby na hasiacom prístroji;</w:t>
      </w:r>
    </w:p>
    <w:p w:rsidR="00A64F22" w:rsidRPr="00EF0355" w:rsidRDefault="00A64F22" w:rsidP="00A64F22">
      <w:pPr>
        <w:numPr>
          <w:ilvl w:val="0"/>
          <w:numId w:val="9"/>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sz w:val="22"/>
        </w:rPr>
        <w:t>Kontrola pojazdného hasiaceho prístroja, ktorý je uvedený v § 2 ods. 3 písm. e) vyhlášky MV SR č. 719/2002  zahŕňa: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optické posúdenie vonkajšieho povrchu tlakovej nádoby;</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kompletnosti hasiaceho prístroja;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hmotnosti prístroja;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a priechodnosti hadice hasiaceho prístroja;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neporušenosti, priechodnosti a funkčnosti prúdnice hasiaceho prístroja;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kompletnosti ručného vozíka;</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kontrolu kompletnosti prípojného vozidla a kontrolu vykonania kontroly technického stavu vozidla na stanici technickej kontroly;</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umiestnenie plomby na hasiacom prístroji;</w:t>
      </w:r>
    </w:p>
    <w:p w:rsidR="00A64F22" w:rsidRPr="00EF0355" w:rsidRDefault="00A64F22" w:rsidP="00A64F22">
      <w:pPr>
        <w:numPr>
          <w:ilvl w:val="0"/>
          <w:numId w:val="10"/>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pripevnenie štítku o vykonaní kontroly prenosného hasiaceho prístroja alebo pojazdného hasiaceho prístroja a vydanie potvrdenia o vykonaní kontroly prenosného hasiaceho prístroja alebo pojazdného hasiaceho prístroja.</w:t>
      </w:r>
    </w:p>
    <w:p w:rsidR="00A64F22" w:rsidRPr="00EF0355" w:rsidRDefault="00A64F22" w:rsidP="00A64F22">
      <w:pPr>
        <w:numPr>
          <w:ilvl w:val="0"/>
          <w:numId w:val="6"/>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b/>
          <w:bCs/>
          <w:sz w:val="22"/>
          <w:u w:val="single"/>
        </w:rPr>
        <w:t>OBSAH TLAKOVEJ SKÚŠKY, OPRAVY A PLNENIA PRENOSNÉHO HASIACEHO PRÍSTROJA A POJAZDNÉHO HASIACEHO PRÍSTROJA</w:t>
      </w:r>
    </w:p>
    <w:p w:rsidR="00A64F22" w:rsidRPr="00EF0355" w:rsidRDefault="00A64F22" w:rsidP="00A64F22">
      <w:pPr>
        <w:shd w:val="clear" w:color="auto" w:fill="FFFFFF"/>
        <w:spacing w:before="100" w:beforeAutospacing="1" w:after="100" w:afterAutospacing="1"/>
        <w:jc w:val="both"/>
        <w:rPr>
          <w:rFonts w:ascii="Arial Narrow" w:hAnsi="Arial Narrow"/>
          <w:b/>
          <w:sz w:val="22"/>
        </w:rPr>
      </w:pPr>
      <w:r w:rsidRPr="00EF0355">
        <w:rPr>
          <w:rFonts w:ascii="Arial Narrow" w:hAnsi="Arial Narrow"/>
          <w:b/>
          <w:sz w:val="22"/>
        </w:rPr>
        <w:t>2.1 Tlaková skúška prenosného hasiaceho prístroja alebo pojazdného hasiaceho prístroja zahŕňa: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uvoľnenie tlaku výtlačného plynu v tlakovej nádobe hasiaceho prístroja, v ktorej je hasiaca látka pod trvalým tlakom výtlačného plynu;</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demontáž súčastí hasiaceho prístroja;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vypustenie hasiacej látky z hasiaceho prístroja;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vyčistenie tlakovej nádoby hasiaceho prístroja;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vizuálnu kontrolu vonkajších stien a vnútorných stien tlakovej nádoby hasiaceho prístroja;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vyčistenie filtra hasiacej látky, kontrolu filtra hasiacej látky;</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vyčistenie stúpacej rúrky, kontrolu stúpacej rúrky;</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vyčistenie ostatných súčastí výpustnej cesty hasiacej látky, kontrolu ostatných súčastí výpustnej cesty hasiacej látky;</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vyčistenie prúdnice;</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vykonanie tlakovej skúšky nádoby hasiaceho prístroja;</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naplnenie tlakovej nádoby hasiaceho prístroja hasiacou látkou;</w:t>
      </w:r>
    </w:p>
    <w:p w:rsidR="00A64F22" w:rsidRPr="00EF0355" w:rsidRDefault="00A64F22" w:rsidP="00A64F22">
      <w:pPr>
        <w:numPr>
          <w:ilvl w:val="0"/>
          <w:numId w:val="11"/>
        </w:numPr>
        <w:shd w:val="clear" w:color="auto" w:fill="FFFFFF"/>
        <w:spacing w:before="100" w:beforeAutospacing="1" w:after="100" w:afterAutospacing="1" w:line="240" w:lineRule="auto"/>
        <w:jc w:val="both"/>
        <w:rPr>
          <w:rFonts w:ascii="Arial Narrow" w:hAnsi="Arial Narrow"/>
          <w:sz w:val="22"/>
        </w:rPr>
      </w:pPr>
      <w:r w:rsidRPr="00EF0355">
        <w:rPr>
          <w:rFonts w:ascii="Arial Narrow" w:hAnsi="Arial Narrow"/>
          <w:sz w:val="22"/>
        </w:rPr>
        <w:t>umiestnenie výtlačného plynu do tlakovej nádoby hasiaceho prístroja alebo umiestnenie samostatnej tlakovej patróny s výtlačným plynom do tlakovej nádoby hasiaceho prístroja alebo na tlakovú nádobu hasiaceho prístroja.</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b/>
          <w:sz w:val="22"/>
        </w:rPr>
        <w:t>2.2</w:t>
      </w:r>
      <w:r w:rsidRPr="00EF0355">
        <w:rPr>
          <w:rFonts w:ascii="Arial Narrow" w:hAnsi="Arial Narrow"/>
          <w:sz w:val="22"/>
        </w:rPr>
        <w:t xml:space="preserve"> </w:t>
      </w:r>
      <w:r w:rsidRPr="00EF0355">
        <w:rPr>
          <w:rFonts w:ascii="Arial Narrow" w:hAnsi="Arial Narrow"/>
          <w:b/>
          <w:color w:val="000000"/>
          <w:sz w:val="22"/>
        </w:rPr>
        <w:t>Náhradné diely potrebné pri tlakových skúškach</w:t>
      </w:r>
      <w:r w:rsidRPr="00EF0355">
        <w:rPr>
          <w:rFonts w:ascii="Arial Narrow" w:hAnsi="Arial Narrow"/>
          <w:color w:val="000000"/>
          <w:sz w:val="22"/>
        </w:rPr>
        <w:t>, ktoré sa bežne poškodia vykonaním tlakovej skúšky, dodávateľ zahrnie do ceny tlakovej skúšky.</w:t>
      </w:r>
      <w:r w:rsidRPr="00EF0355">
        <w:rPr>
          <w:rFonts w:ascii="Arial Narrow" w:hAnsi="Arial Narrow"/>
          <w:sz w:val="22"/>
        </w:rPr>
        <w:t xml:space="preserve"> Verejný obstarávateľ akceptuje výmenu náhradných dielov v rozsahu hadica a</w:t>
      </w:r>
      <w:r w:rsidR="009B5C05">
        <w:rPr>
          <w:rFonts w:ascii="Arial Narrow" w:hAnsi="Arial Narrow"/>
          <w:sz w:val="22"/>
        </w:rPr>
        <w:t> </w:t>
      </w:r>
      <w:r w:rsidRPr="00EF0355">
        <w:rPr>
          <w:rFonts w:ascii="Arial Narrow" w:hAnsi="Arial Narrow"/>
          <w:sz w:val="22"/>
        </w:rPr>
        <w:t>manometer</w:t>
      </w:r>
      <w:r w:rsidR="009B5C05">
        <w:rPr>
          <w:rFonts w:ascii="Arial Narrow" w:hAnsi="Arial Narrow"/>
          <w:sz w:val="22"/>
        </w:rPr>
        <w:t>.</w:t>
      </w:r>
      <w:bookmarkStart w:id="0" w:name="_GoBack"/>
      <w:bookmarkEnd w:id="0"/>
      <w:r w:rsidRPr="00EF0355">
        <w:rPr>
          <w:rFonts w:ascii="Arial Narrow" w:hAnsi="Arial Narrow"/>
          <w:sz w:val="22"/>
        </w:rPr>
        <w:t xml:space="preserve"> Po vykonaní týchto úkonov vystaví dodávateľ potvrdenie o vykonaní opravy a plnenia hasiaceho prístroja podľa prílohy č. 7 k vyhláške MV SR č. 719/2002. </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sz w:val="22"/>
        </w:rPr>
        <w:t>Pokiaľ sa pred vykonaním tlakovej skúšky prenosného hasiaceho prístroja zistia nedostatky, pri ktorých je potrebná výmena jednotlivých komponentov nad rámec akceptovaných náhradných dielov</w:t>
      </w:r>
      <w:r w:rsidRPr="00EF0355">
        <w:rPr>
          <w:rFonts w:ascii="Arial Narrow" w:hAnsi="Arial Narrow"/>
          <w:strike/>
          <w:sz w:val="22"/>
        </w:rPr>
        <w:t xml:space="preserve"> </w:t>
      </w:r>
      <w:r w:rsidRPr="00EF0355">
        <w:rPr>
          <w:rFonts w:ascii="Arial Narrow" w:hAnsi="Arial Narrow"/>
          <w:sz w:val="22"/>
        </w:rPr>
        <w:t xml:space="preserve">(hadice a manometra), </w:t>
      </w:r>
      <w:r w:rsidRPr="00EF0355">
        <w:rPr>
          <w:rFonts w:ascii="Arial Narrow" w:hAnsi="Arial Narrow"/>
          <w:sz w:val="22"/>
        </w:rPr>
        <w:lastRenderedPageBreak/>
        <w:t xml:space="preserve">dodávateľ je povinný tlakovú skúšku </w:t>
      </w:r>
      <w:r w:rsidRPr="00EF0355">
        <w:rPr>
          <w:rFonts w:ascii="Arial Narrow" w:hAnsi="Arial Narrow"/>
          <w:sz w:val="22"/>
          <w:u w:val="single"/>
        </w:rPr>
        <w:t>nerealizovať</w:t>
      </w:r>
      <w:r w:rsidRPr="00EF0355">
        <w:rPr>
          <w:rFonts w:ascii="Arial Narrow" w:hAnsi="Arial Narrow"/>
          <w:sz w:val="22"/>
        </w:rPr>
        <w:t xml:space="preserve"> a vystaví pre </w:t>
      </w:r>
      <w:r w:rsidRPr="00EF0355">
        <w:rPr>
          <w:rFonts w:ascii="Arial Narrow" w:hAnsi="Arial Narrow"/>
          <w:b/>
          <w:sz w:val="22"/>
          <w:u w:val="single"/>
        </w:rPr>
        <w:t>správcu objektu,</w:t>
      </w:r>
      <w:r w:rsidRPr="00EF0355">
        <w:rPr>
          <w:rFonts w:ascii="Arial Narrow" w:hAnsi="Arial Narrow"/>
          <w:sz w:val="22"/>
        </w:rPr>
        <w:t xml:space="preserve"> v prípade hasiacich prístrojov </w:t>
      </w:r>
      <w:r w:rsidRPr="00EF0355">
        <w:rPr>
          <w:rFonts w:ascii="Arial Narrow" w:hAnsi="Arial Narrow"/>
          <w:b/>
          <w:sz w:val="22"/>
          <w:u w:val="single"/>
        </w:rPr>
        <w:t>v služobných cestných vozidlách</w:t>
      </w:r>
      <w:r w:rsidRPr="00EF0355">
        <w:rPr>
          <w:rFonts w:ascii="Arial Narrow" w:hAnsi="Arial Narrow"/>
          <w:sz w:val="22"/>
        </w:rPr>
        <w:t xml:space="preserve"> pre určenú kontaktnú osobu, protokol o jeho vyradení. </w:t>
      </w:r>
    </w:p>
    <w:p w:rsidR="00A64F22" w:rsidRPr="00EF0355" w:rsidRDefault="00A64F22" w:rsidP="00A64F22">
      <w:pPr>
        <w:pStyle w:val="Zkladntext1"/>
        <w:spacing w:after="240" w:line="274" w:lineRule="exact"/>
        <w:ind w:right="40" w:firstLine="0"/>
        <w:rPr>
          <w:rFonts w:ascii="Arial Narrow" w:hAnsi="Arial Narrow"/>
          <w:sz w:val="22"/>
          <w:szCs w:val="22"/>
        </w:rPr>
      </w:pPr>
      <w:r w:rsidRPr="00EF0355">
        <w:rPr>
          <w:rFonts w:ascii="Arial Narrow" w:hAnsi="Arial Narrow"/>
          <w:sz w:val="22"/>
          <w:szCs w:val="22"/>
        </w:rPr>
        <w:t>V prípade odvozu hasiaceho prístroja na tlakovú skúšku alebo opravu je dodávateľ povinný dočasne nahradiť hasiaci prístroj. Po vykonaní tlakovej skúšky alebo opravy je povinný vrátiť hasiaci prístroj na jeho pôvodné miesto.</w:t>
      </w:r>
    </w:p>
    <w:p w:rsidR="00A64F22" w:rsidRPr="00EF0355" w:rsidRDefault="00A64F22" w:rsidP="00A64F22">
      <w:pPr>
        <w:pStyle w:val="Zkladntext1"/>
        <w:spacing w:after="240" w:line="274" w:lineRule="exact"/>
        <w:ind w:right="40" w:firstLine="0"/>
        <w:rPr>
          <w:rFonts w:ascii="Arial Narrow" w:hAnsi="Arial Narrow"/>
          <w:b/>
          <w:sz w:val="22"/>
          <w:szCs w:val="22"/>
        </w:rPr>
      </w:pPr>
      <w:r w:rsidRPr="00EF0355">
        <w:rPr>
          <w:rFonts w:ascii="Arial Narrow" w:hAnsi="Arial Narrow"/>
          <w:b/>
          <w:sz w:val="22"/>
          <w:szCs w:val="22"/>
        </w:rPr>
        <w:t>2.3 Cena za kontrolu hasiacich prístrojov musí zahŕňať</w:t>
      </w:r>
      <w:r w:rsidRPr="00EF0355">
        <w:rPr>
          <w:rFonts w:ascii="Arial Narrow" w:hAnsi="Arial Narrow"/>
          <w:sz w:val="22"/>
          <w:szCs w:val="22"/>
        </w:rPr>
        <w:t xml:space="preserve"> všetky položky uvedené v prílohe č. 9 k vyhláške MV SR č. 719/2002 Z. z. vrátane ceny za vystavenie „Potvrdenia o vykonaní kontroly hasiaceho prístroja“ podľa prílohy č. 10 k vyhláške MV SR č. 719/2002  s podpisom fyzickej osoby, ktorá má osobitné oprávnenie o odbornej spôsobilosti na vykonávanie kontroly hasiacich prístrojov. Ak dodávateľ počas výkonu kontroly zistí, že je na stanovišti prenosného hasiaceho prístroja alebo na hasiacom prístroji poškodené alebo chýbajúce označenie, zabezpečí  jeho opätovné označenie. Cena za náhradu poškodeného alebo chýbajúceho označenia je zahrnutá v cene kontroly hasiaceho prístroja.</w:t>
      </w:r>
    </w:p>
    <w:p w:rsidR="00A64F22" w:rsidRPr="00EF0355" w:rsidRDefault="00A64F22" w:rsidP="00A64F22">
      <w:pPr>
        <w:autoSpaceDE w:val="0"/>
        <w:autoSpaceDN w:val="0"/>
        <w:adjustRightInd w:val="0"/>
        <w:spacing w:before="120" w:after="120"/>
        <w:jc w:val="both"/>
        <w:rPr>
          <w:rFonts w:ascii="Arial Narrow" w:hAnsi="Arial Narrow"/>
          <w:b/>
          <w:sz w:val="22"/>
          <w:u w:val="single"/>
        </w:rPr>
      </w:pPr>
      <w:r w:rsidRPr="00EF0355">
        <w:rPr>
          <w:rFonts w:ascii="Arial Narrow" w:hAnsi="Arial Narrow"/>
          <w:b/>
          <w:sz w:val="22"/>
          <w:u w:val="single"/>
        </w:rPr>
        <w:t xml:space="preserve">V objektoch sa nachádzajú zariadenia nasledovných výrobcov:  </w:t>
      </w:r>
    </w:p>
    <w:tbl>
      <w:tblPr>
        <w:tblW w:w="9436" w:type="dxa"/>
        <w:tblInd w:w="55" w:type="dxa"/>
        <w:tblCellMar>
          <w:left w:w="70" w:type="dxa"/>
          <w:right w:w="70" w:type="dxa"/>
        </w:tblCellMar>
        <w:tblLook w:val="04A0" w:firstRow="1" w:lastRow="0" w:firstColumn="1" w:lastColumn="0" w:noHBand="0" w:noVBand="1"/>
      </w:tblPr>
      <w:tblGrid>
        <w:gridCol w:w="9436"/>
      </w:tblGrid>
      <w:tr w:rsidR="00A64F22" w:rsidRPr="00EF0355" w:rsidTr="0049157A">
        <w:trPr>
          <w:trHeight w:val="300"/>
        </w:trPr>
        <w:tc>
          <w:tcPr>
            <w:tcW w:w="9436" w:type="dxa"/>
            <w:tcBorders>
              <w:top w:val="nil"/>
              <w:left w:val="nil"/>
              <w:bottom w:val="nil"/>
              <w:right w:val="nil"/>
            </w:tcBorders>
            <w:shd w:val="clear" w:color="auto" w:fill="auto"/>
            <w:noWrap/>
            <w:vAlign w:val="bottom"/>
            <w:hideMark/>
          </w:tcPr>
          <w:p w:rsidR="00A64F22" w:rsidRPr="00300844" w:rsidRDefault="00A64F22" w:rsidP="0049157A">
            <w:pPr>
              <w:ind w:left="-55"/>
              <w:jc w:val="both"/>
              <w:rPr>
                <w:rFonts w:ascii="Arial Narrow" w:hAnsi="Arial Narrow"/>
                <w:b/>
                <w:bCs/>
                <w:iCs/>
                <w:sz w:val="22"/>
              </w:rPr>
            </w:pPr>
            <w:r w:rsidRPr="00300844">
              <w:rPr>
                <w:rFonts w:ascii="Arial Narrow" w:hAnsi="Arial Narrow"/>
                <w:b/>
                <w:bCs/>
                <w:iCs/>
                <w:sz w:val="22"/>
              </w:rPr>
              <w:t>Výrobcovia PHP : KODRETA, NEURUPPIN, KOVOSLUŽBA-TITAN, HASTEX&amp;HASPRO, REHAS,BAVARIA, ETS, VALPRO, RAIMA-SIEL, ČERVINKA, HASPO, ALBECO, APOLDA, TEPOSTOP, SANAL, VÍTKOVICE</w:t>
            </w:r>
          </w:p>
        </w:tc>
      </w:tr>
    </w:tbl>
    <w:p w:rsidR="00A64F22" w:rsidRPr="00EF0355" w:rsidRDefault="00A64F22" w:rsidP="00A64F22">
      <w:pPr>
        <w:numPr>
          <w:ilvl w:val="0"/>
          <w:numId w:val="6"/>
        </w:numPr>
        <w:shd w:val="clear" w:color="auto" w:fill="FFFFFF"/>
        <w:spacing w:before="100" w:beforeAutospacing="1" w:after="100" w:afterAutospacing="1" w:line="240" w:lineRule="auto"/>
        <w:jc w:val="both"/>
        <w:rPr>
          <w:rFonts w:ascii="Arial Narrow" w:hAnsi="Arial Narrow"/>
          <w:b/>
          <w:sz w:val="22"/>
        </w:rPr>
      </w:pPr>
      <w:r w:rsidRPr="00EF0355">
        <w:rPr>
          <w:rFonts w:ascii="Arial Narrow" w:hAnsi="Arial Narrow"/>
          <w:b/>
          <w:bCs/>
          <w:sz w:val="22"/>
          <w:u w:val="single"/>
        </w:rPr>
        <w:t>OBSAH KONTROLY</w:t>
      </w:r>
      <w:r w:rsidRPr="00EF0355">
        <w:rPr>
          <w:rFonts w:ascii="Arial Narrow" w:hAnsi="Arial Narrow"/>
          <w:b/>
          <w:sz w:val="22"/>
          <w:u w:val="single"/>
        </w:rPr>
        <w:t xml:space="preserve"> POŽIARNYCH VODOVODOV</w:t>
      </w:r>
      <w:r w:rsidRPr="00EF0355">
        <w:rPr>
          <w:rFonts w:ascii="Arial Narrow" w:hAnsi="Arial Narrow"/>
          <w:sz w:val="22"/>
        </w:rPr>
        <w:t xml:space="preserve"> (kontroly zariadení na dodávku vody na hasenie požiarov po ich odovzdaní do užívania)</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sz w:val="22"/>
        </w:rPr>
        <w:t>Kontrola  zariadení  na  dodávku  vody  na  hasenie  požiarov  po ich odovzdaní  do  užívania  sa vykonáva   v súlade  s § 15 ods. 2 vyhlášky MV SR  č. 699/2004. Vzhľadom  na to, že ustanovenia tejto vyhlášky sa  nevzťahujú  na zdroje vody,  ktoré sú určené na hasenie požiarov v stavbách Policajného zboru (§ 1 ods. 2  vyhlášky MV SR  č. 699/2004),  tieto  kontroly sa  budú  vykonávať  podľa  ustanovení  STN 92 0400  čl. C.2 analogicky  s  čl. 6.1 STN EN 671-3, resp. ekvivalentných noriem.</w:t>
      </w:r>
    </w:p>
    <w:p w:rsidR="00A64F22" w:rsidRPr="00EF0355" w:rsidRDefault="00A64F22" w:rsidP="00A64F22">
      <w:pPr>
        <w:shd w:val="clear" w:color="auto" w:fill="FFFFFF"/>
        <w:spacing w:before="100" w:beforeAutospacing="1" w:after="100" w:afterAutospacing="1"/>
        <w:jc w:val="both"/>
        <w:rPr>
          <w:rFonts w:ascii="Arial Narrow" w:hAnsi="Arial Narrow"/>
          <w:bCs/>
          <w:sz w:val="22"/>
        </w:rPr>
      </w:pPr>
      <w:r w:rsidRPr="00EF0355">
        <w:rPr>
          <w:rFonts w:ascii="Arial Narrow" w:hAnsi="Arial Narrow"/>
          <w:b/>
          <w:bCs/>
          <w:sz w:val="22"/>
        </w:rPr>
        <w:t xml:space="preserve">3.1 </w:t>
      </w:r>
      <w:r w:rsidRPr="00EF0355">
        <w:rPr>
          <w:rFonts w:ascii="Arial Narrow" w:hAnsi="Arial Narrow"/>
          <w:b/>
          <w:sz w:val="22"/>
        </w:rPr>
        <w:t>Kontrola zariadení na dodávku vody na hasenie požiarov po ich odovzdaní do užívania zahŕňa</w:t>
      </w:r>
      <w:r w:rsidRPr="00EF0355">
        <w:rPr>
          <w:rFonts w:ascii="Arial Narrow" w:hAnsi="Arial Narrow"/>
          <w:b/>
          <w:bCs/>
          <w:sz w:val="22"/>
        </w:rPr>
        <w:t>:</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 xml:space="preserve">funkčnosť odberných miest, uzatváracích a pripájacích armatúr a uzatváracích ventilov, hadíc a hadicových </w:t>
      </w:r>
      <w:proofErr w:type="spellStart"/>
      <w:r w:rsidRPr="00EF0355">
        <w:rPr>
          <w:rFonts w:ascii="Arial Narrow" w:hAnsi="Arial Narrow"/>
          <w:sz w:val="22"/>
        </w:rPr>
        <w:t>navijákov</w:t>
      </w:r>
      <w:proofErr w:type="spellEnd"/>
      <w:r w:rsidRPr="00EF0355">
        <w:rPr>
          <w:rFonts w:ascii="Arial Narrow" w:hAnsi="Arial Narrow"/>
          <w:sz w:val="22"/>
        </w:rPr>
        <w:t>;</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voľný prístup k zdrojom vody, odberným miestam a hadicovým zariadeniam;</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vybavenosť hadicových zariadení predpísanou výzbrojou;</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prevádzkové parametre odberných miest a hadicových zariadení;</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označovanie vonkajších odberných miest a hadicových zariadení;</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pohotovosť čerpacích zariadení a ich príslušenstva;</w:t>
      </w:r>
    </w:p>
    <w:p w:rsidR="00A64F22" w:rsidRPr="00EF0355" w:rsidRDefault="00A64F22" w:rsidP="00A64F22">
      <w:pPr>
        <w:numPr>
          <w:ilvl w:val="0"/>
          <w:numId w:val="12"/>
        </w:numPr>
        <w:shd w:val="clear" w:color="auto" w:fill="FFFFFF"/>
        <w:spacing w:before="100" w:beforeAutospacing="1" w:after="100" w:afterAutospacing="1" w:line="240" w:lineRule="auto"/>
        <w:rPr>
          <w:rFonts w:ascii="Arial Narrow" w:hAnsi="Arial Narrow"/>
          <w:sz w:val="22"/>
        </w:rPr>
      </w:pPr>
      <w:r w:rsidRPr="00EF0355">
        <w:rPr>
          <w:rFonts w:ascii="Arial Narrow" w:hAnsi="Arial Narrow"/>
          <w:sz w:val="22"/>
        </w:rPr>
        <w:t>množstvo vody v nádrži.</w:t>
      </w:r>
    </w:p>
    <w:p w:rsidR="00A64F22" w:rsidRPr="00EF0355" w:rsidRDefault="00A64F22" w:rsidP="00A64F22">
      <w:pPr>
        <w:shd w:val="clear" w:color="auto" w:fill="FFFFFF"/>
        <w:spacing w:before="100" w:beforeAutospacing="1" w:after="100" w:afterAutospacing="1"/>
        <w:rPr>
          <w:rFonts w:ascii="Arial Narrow" w:hAnsi="Arial Narrow"/>
          <w:sz w:val="22"/>
        </w:rPr>
      </w:pPr>
      <w:r w:rsidRPr="00EF0355">
        <w:rPr>
          <w:rFonts w:ascii="Arial Narrow" w:hAnsi="Arial Narrow"/>
          <w:b/>
          <w:sz w:val="22"/>
        </w:rPr>
        <w:t>3.2 Tlaková skúška požiarnych hadíc</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sz w:val="22"/>
        </w:rPr>
        <w:t>Požiarne hadice, ktoré sú umiestnené v hadicových zariadeniach (hydrantoch) sa skúšajú na funkčnosť tlakovou skúškou podľa STN 92 0801 - Tlakové skúšky požiarnych hadíc resp. ekvivalentnej normy. Tieto tlakové skúšky sa vyžadujú na základe § 14 ods. 4 vyhlášky MV SR č. 699/2004.  Z vyššie uvedených dôvodov sa tieto skúšky budú vykonávať v objektoch Ministerstva vnútra SR podľa ustanovení čl. 6.2 STN EN 671-3 s nadväznosťou na  čl. C.2.2.2 STN 92 0400 resp. ekvivalentných noriem každých päť rokov.</w:t>
      </w:r>
    </w:p>
    <w:p w:rsidR="00A64F22" w:rsidRPr="00EF0355" w:rsidRDefault="00A64F22" w:rsidP="00A64F22">
      <w:pPr>
        <w:shd w:val="clear" w:color="auto" w:fill="FFFFFF"/>
        <w:spacing w:before="100" w:beforeAutospacing="1" w:after="100" w:afterAutospacing="1"/>
        <w:jc w:val="both"/>
        <w:rPr>
          <w:rFonts w:ascii="Arial Narrow" w:hAnsi="Arial Narrow"/>
          <w:sz w:val="22"/>
        </w:rPr>
      </w:pPr>
      <w:r w:rsidRPr="00EF0355">
        <w:rPr>
          <w:rFonts w:ascii="Arial Narrow" w:hAnsi="Arial Narrow"/>
          <w:b/>
          <w:sz w:val="22"/>
        </w:rPr>
        <w:t>3.3 Cena za kontrolu požiarnych vodovodov a tlakových skúšok</w:t>
      </w:r>
    </w:p>
    <w:p w:rsidR="00A64F22" w:rsidRPr="00EF0355" w:rsidRDefault="00A64F22" w:rsidP="00A64F22">
      <w:pPr>
        <w:numPr>
          <w:ilvl w:val="0"/>
          <w:numId w:val="13"/>
        </w:numPr>
        <w:shd w:val="clear" w:color="auto" w:fill="FFFFFF"/>
        <w:spacing w:after="0" w:line="240" w:lineRule="auto"/>
        <w:jc w:val="both"/>
        <w:rPr>
          <w:rFonts w:ascii="Arial Narrow" w:hAnsi="Arial Narrow"/>
          <w:sz w:val="22"/>
        </w:rPr>
      </w:pPr>
      <w:r w:rsidRPr="00EF0355">
        <w:rPr>
          <w:rFonts w:ascii="Arial Narrow" w:hAnsi="Arial Narrow"/>
          <w:sz w:val="22"/>
        </w:rPr>
        <w:lastRenderedPageBreak/>
        <w:t>Cena za kontrolu zariadení na dodávku vody na hasenie požiarov musí zahŕňať všetky úkony uvedené v STN EN 671–3:2001 Stabilné hasiace zariadenia resp. ekvivalentnej normy. Hadicové zariadenia. Časť 3: Údržba hadicových navijakov s tvarovo stálou hadicou a nástenných hydrantov s plochou hadicou (STN 92 0403), resp. ekvivalentnej normy vrátane vystavenia písomného záznamu podľa príslušného právneho predpisu t. j. vyhlášky MV SR č. 699/2004, kde sa uvedú všetky kontrolované údaje, ktorý sa odovzdá objednávateľovi.</w:t>
      </w:r>
    </w:p>
    <w:p w:rsidR="00A64F22" w:rsidRPr="00EF0355" w:rsidRDefault="00A64F22" w:rsidP="00A64F22">
      <w:pPr>
        <w:shd w:val="clear" w:color="auto" w:fill="FFFFFF"/>
        <w:ind w:left="720"/>
        <w:jc w:val="both"/>
        <w:rPr>
          <w:rFonts w:ascii="Arial Narrow" w:hAnsi="Arial Narrow"/>
          <w:sz w:val="22"/>
        </w:rPr>
      </w:pPr>
    </w:p>
    <w:p w:rsidR="00A64F22" w:rsidRPr="00EF0355" w:rsidRDefault="00A64F22" w:rsidP="00A64F22">
      <w:pPr>
        <w:numPr>
          <w:ilvl w:val="0"/>
          <w:numId w:val="13"/>
        </w:numPr>
        <w:shd w:val="clear" w:color="auto" w:fill="FFFFFF"/>
        <w:spacing w:after="0" w:line="240" w:lineRule="auto"/>
        <w:jc w:val="both"/>
        <w:rPr>
          <w:rFonts w:ascii="Arial Narrow" w:hAnsi="Arial Narrow"/>
          <w:sz w:val="22"/>
        </w:rPr>
      </w:pPr>
      <w:r w:rsidRPr="00EF0355">
        <w:rPr>
          <w:rFonts w:ascii="Arial Narrow" w:hAnsi="Arial Narrow"/>
          <w:sz w:val="22"/>
        </w:rPr>
        <w:t>Cena za tlakové skúšky požiarnych hadíc musí zahŕňať všetky položky uvedené v STN 92 0801 - Tlakové  skúšky  požiarnych  hadíc resp. ekvivalentnej normy vrátane  vystavenia  protokolu  o tlakovej   skúške  a popisom meracieho zariadenia (čerpadla) a inštalácie požiarnej hadice po výkone tlakovej skúšky do skrine hadicového zariadenia. Ak dodávateľ počas výkonu kontroly zistí, že je na požiarnom vodovode poškodené alebo chýbajúce označenie, zabezpečí  jeho opätovné označenie. Cena za náhradu poškodeného alebo chýbajúceho označenia je zahrnutá v cene kontroly požiarneho vodovodu.</w:t>
      </w:r>
    </w:p>
    <w:p w:rsidR="00A64F22" w:rsidRPr="00EF0355" w:rsidRDefault="00A64F22" w:rsidP="00A64F22">
      <w:pPr>
        <w:pStyle w:val="Odsekzoznamu"/>
        <w:rPr>
          <w:rFonts w:ascii="Arial Narrow" w:hAnsi="Arial Narrow"/>
          <w:sz w:val="22"/>
        </w:rPr>
      </w:pPr>
    </w:p>
    <w:p w:rsidR="00A64F22" w:rsidRPr="00EF0355" w:rsidRDefault="00A64F22" w:rsidP="00A64F22">
      <w:pPr>
        <w:numPr>
          <w:ilvl w:val="0"/>
          <w:numId w:val="6"/>
        </w:numPr>
        <w:shd w:val="clear" w:color="auto" w:fill="FFFFFF"/>
        <w:spacing w:after="0" w:line="240" w:lineRule="auto"/>
        <w:jc w:val="both"/>
        <w:rPr>
          <w:rFonts w:ascii="Arial Narrow" w:hAnsi="Arial Narrow"/>
          <w:sz w:val="22"/>
        </w:rPr>
      </w:pPr>
      <w:r w:rsidRPr="00EF0355">
        <w:rPr>
          <w:rFonts w:ascii="Arial Narrow" w:hAnsi="Arial Narrow"/>
          <w:b/>
          <w:sz w:val="22"/>
          <w:u w:val="single"/>
        </w:rPr>
        <w:t>OBSAH ÚDRŽBY A PREHLIADKY POŽIARNEHO UZÁVERU</w:t>
      </w:r>
    </w:p>
    <w:p w:rsidR="00A64F22" w:rsidRPr="00EF0355" w:rsidRDefault="00A64F22" w:rsidP="00A64F22">
      <w:pPr>
        <w:shd w:val="clear" w:color="auto" w:fill="FFFFFF"/>
        <w:jc w:val="both"/>
        <w:rPr>
          <w:rFonts w:ascii="Arial Narrow" w:hAnsi="Arial Narrow"/>
          <w:b/>
          <w:sz w:val="22"/>
          <w:u w:val="single"/>
        </w:rPr>
      </w:pPr>
    </w:p>
    <w:p w:rsidR="00A64F22" w:rsidRPr="00EF0355" w:rsidRDefault="00A64F22" w:rsidP="00A64F22">
      <w:pPr>
        <w:jc w:val="both"/>
        <w:rPr>
          <w:rFonts w:ascii="Arial Narrow" w:hAnsi="Arial Narrow"/>
          <w:bCs/>
          <w:sz w:val="22"/>
        </w:rPr>
      </w:pPr>
      <w:r w:rsidRPr="00EF0355">
        <w:rPr>
          <w:rFonts w:ascii="Arial Narrow" w:hAnsi="Arial Narrow"/>
          <w:sz w:val="22"/>
        </w:rPr>
        <w:t xml:space="preserve">Údržby a prehliadky požiarnych uzáverov sa vykonávajú podľa vyhlášky </w:t>
      </w:r>
      <w:r w:rsidRPr="00EF0355">
        <w:rPr>
          <w:rFonts w:ascii="Arial Narrow" w:hAnsi="Arial Narrow"/>
          <w:bCs/>
          <w:sz w:val="22"/>
        </w:rPr>
        <w:t>MV SR č. 478/2008 a podľa pokynov výrobcov.</w:t>
      </w:r>
    </w:p>
    <w:p w:rsidR="00A64F22" w:rsidRPr="00EF0355" w:rsidRDefault="00A64F22" w:rsidP="00A64F22">
      <w:pPr>
        <w:numPr>
          <w:ilvl w:val="1"/>
          <w:numId w:val="6"/>
        </w:numPr>
        <w:shd w:val="clear" w:color="auto" w:fill="FFFFFF"/>
        <w:spacing w:after="0" w:line="240" w:lineRule="auto"/>
        <w:ind w:left="426" w:hanging="426"/>
        <w:jc w:val="both"/>
        <w:rPr>
          <w:rFonts w:ascii="Arial Narrow" w:hAnsi="Arial Narrow"/>
          <w:color w:val="000000"/>
          <w:sz w:val="22"/>
          <w:shd w:val="clear" w:color="auto" w:fill="FFFFFF"/>
        </w:rPr>
      </w:pPr>
      <w:r w:rsidRPr="00EF0355">
        <w:rPr>
          <w:rFonts w:ascii="Arial Narrow" w:hAnsi="Arial Narrow"/>
          <w:color w:val="000000"/>
          <w:sz w:val="22"/>
          <w:shd w:val="clear" w:color="auto" w:fill="FFFFFF"/>
        </w:rPr>
        <w:t>Na inštalovanom požiarnom uzávere musí byť zabezpečené vykonávanie</w:t>
      </w:r>
    </w:p>
    <w:p w:rsidR="00A64F22" w:rsidRPr="00EF0355" w:rsidRDefault="00A64F22" w:rsidP="00A64F22">
      <w:pPr>
        <w:autoSpaceDE w:val="0"/>
        <w:autoSpaceDN w:val="0"/>
        <w:adjustRightInd w:val="0"/>
        <w:jc w:val="both"/>
        <w:rPr>
          <w:rFonts w:ascii="Arial Narrow" w:hAnsi="Arial Narrow"/>
          <w:color w:val="FF0000"/>
          <w:sz w:val="22"/>
        </w:rPr>
      </w:pPr>
    </w:p>
    <w:p w:rsidR="00A64F22" w:rsidRPr="00EF0355" w:rsidRDefault="00A64F22" w:rsidP="00A64F22">
      <w:pPr>
        <w:numPr>
          <w:ilvl w:val="0"/>
          <w:numId w:val="14"/>
        </w:numPr>
        <w:autoSpaceDE w:val="0"/>
        <w:autoSpaceDN w:val="0"/>
        <w:adjustRightInd w:val="0"/>
        <w:spacing w:after="0" w:line="240" w:lineRule="auto"/>
        <w:jc w:val="both"/>
        <w:rPr>
          <w:rFonts w:ascii="Arial Narrow" w:hAnsi="Arial Narrow"/>
          <w:color w:val="000000"/>
          <w:sz w:val="22"/>
        </w:rPr>
      </w:pPr>
      <w:r w:rsidRPr="00EF0355">
        <w:rPr>
          <w:rFonts w:ascii="Arial Narrow" w:hAnsi="Arial Narrow"/>
          <w:color w:val="000000"/>
          <w:sz w:val="22"/>
          <w:shd w:val="clear" w:color="auto" w:fill="FFFFFF"/>
        </w:rPr>
        <w:t>preventívnej údržby v lehotách určených v prevádzkových pokynoch; ak prevádzkové pokyny neurčujú lehoty preventívnej údržby, vykonáva sa preventívna údržba v lehote najmenej raz za 12 mesiacov,</w:t>
      </w:r>
    </w:p>
    <w:p w:rsidR="00A64F22" w:rsidRPr="00EF0355" w:rsidRDefault="00A64F22" w:rsidP="00A64F22">
      <w:pPr>
        <w:numPr>
          <w:ilvl w:val="0"/>
          <w:numId w:val="14"/>
        </w:numPr>
        <w:autoSpaceDE w:val="0"/>
        <w:autoSpaceDN w:val="0"/>
        <w:adjustRightInd w:val="0"/>
        <w:spacing w:after="0" w:line="240" w:lineRule="auto"/>
        <w:jc w:val="both"/>
        <w:rPr>
          <w:rFonts w:ascii="Arial Narrow" w:hAnsi="Arial Narrow"/>
          <w:color w:val="000000"/>
          <w:sz w:val="22"/>
        </w:rPr>
      </w:pPr>
      <w:r w:rsidRPr="00EF0355">
        <w:rPr>
          <w:rFonts w:ascii="Arial Narrow" w:hAnsi="Arial Narrow"/>
          <w:color w:val="000000"/>
          <w:sz w:val="22"/>
          <w:shd w:val="clear" w:color="auto" w:fill="FFFFFF"/>
        </w:rPr>
        <w:t>prehliadky požiarneho uzáveru</w:t>
      </w:r>
    </w:p>
    <w:p w:rsidR="00A64F22" w:rsidRPr="00EF0355" w:rsidRDefault="00A64F22" w:rsidP="00A64F22">
      <w:pPr>
        <w:numPr>
          <w:ilvl w:val="0"/>
          <w:numId w:val="15"/>
        </w:numPr>
        <w:autoSpaceDE w:val="0"/>
        <w:autoSpaceDN w:val="0"/>
        <w:adjustRightInd w:val="0"/>
        <w:spacing w:after="0" w:line="240" w:lineRule="auto"/>
        <w:jc w:val="both"/>
        <w:rPr>
          <w:rFonts w:ascii="Arial Narrow" w:hAnsi="Arial Narrow"/>
          <w:color w:val="000000"/>
          <w:sz w:val="22"/>
        </w:rPr>
      </w:pPr>
      <w:r w:rsidRPr="00EF0355">
        <w:rPr>
          <w:rFonts w:ascii="Arial Narrow" w:hAnsi="Arial Narrow"/>
          <w:color w:val="000000"/>
          <w:sz w:val="22"/>
          <w:shd w:val="clear" w:color="auto" w:fill="FFFFFF"/>
        </w:rPr>
        <w:t>raz za 12 mesiacov, ak prevádzkové pokyny neurčujú kratšiu lehotu prehliadky požiarneho uzáveru,</w:t>
      </w:r>
    </w:p>
    <w:p w:rsidR="00A64F22" w:rsidRPr="00EF0355" w:rsidRDefault="00A64F22" w:rsidP="00A64F22">
      <w:pPr>
        <w:numPr>
          <w:ilvl w:val="0"/>
          <w:numId w:val="15"/>
        </w:numPr>
        <w:autoSpaceDE w:val="0"/>
        <w:autoSpaceDN w:val="0"/>
        <w:adjustRightInd w:val="0"/>
        <w:spacing w:after="0" w:line="240" w:lineRule="auto"/>
        <w:jc w:val="both"/>
        <w:rPr>
          <w:rFonts w:ascii="Arial Narrow" w:hAnsi="Arial Narrow"/>
          <w:color w:val="000000"/>
          <w:sz w:val="22"/>
        </w:rPr>
      </w:pPr>
      <w:r w:rsidRPr="00EF0355">
        <w:rPr>
          <w:rFonts w:ascii="Arial Narrow" w:hAnsi="Arial Narrow"/>
          <w:color w:val="000000"/>
          <w:sz w:val="22"/>
          <w:shd w:val="clear" w:color="auto" w:fill="FFFFFF"/>
        </w:rPr>
        <w:t>bez zbytočného odkladu po preventívnej údržbe požiarneho uzáveru a po oprave požiarneho uzáveru.</w:t>
      </w: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sz w:val="22"/>
        </w:rPr>
      </w:pPr>
      <w:r w:rsidRPr="00EF0355">
        <w:rPr>
          <w:rFonts w:ascii="Arial Narrow" w:hAnsi="Arial Narrow"/>
          <w:sz w:val="22"/>
        </w:rPr>
        <w:t>Ak dodávateľ počas výkonu kontroly zistí, že je na požiarnom uzávere poškodené alebo chýbajúce označenie, zabezpečí  jeho opätovné označenie. Cenu za náhradu poškodeného alebo chýbajúceho označenia je zahrnutá v cene kontroly požiarneho uzáveru.</w:t>
      </w: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sz w:val="22"/>
        </w:rPr>
      </w:pPr>
      <w:r w:rsidRPr="00EF0355">
        <w:rPr>
          <w:rFonts w:ascii="Arial Narrow" w:hAnsi="Arial Narrow"/>
          <w:sz w:val="22"/>
        </w:rPr>
        <w:t>4.2 Povinnosti dodávateľa po vykonaní prehliadky požiarneho uzáveru</w:t>
      </w:r>
    </w:p>
    <w:p w:rsidR="00A64F22" w:rsidRDefault="00A64F22" w:rsidP="00A64F22">
      <w:pPr>
        <w:shd w:val="clear" w:color="auto" w:fill="FFFFFF"/>
        <w:tabs>
          <w:tab w:val="left" w:pos="709"/>
        </w:tabs>
        <w:spacing w:before="100" w:beforeAutospacing="1" w:after="100" w:afterAutospacing="1"/>
        <w:jc w:val="both"/>
        <w:rPr>
          <w:rFonts w:ascii="Arial Narrow" w:hAnsi="Arial Narrow"/>
          <w:sz w:val="22"/>
        </w:rPr>
      </w:pPr>
      <w:r w:rsidRPr="00EF0355">
        <w:rPr>
          <w:rFonts w:ascii="Arial Narrow" w:hAnsi="Arial Narrow"/>
          <w:sz w:val="22"/>
        </w:rPr>
        <w:t>Dodávateľ po vykonaní prehliadky požiarneho uzáveru vydá potvrdenie o vykonaní prehliadky požiarneho uzáveru, v ktorom uvedie dátum vykonania prehliadky, výrobcu, výrobné číslo, typ a umiestnenie požiarneho uzáveru. Po vykonaní prehliadky požiarneho uzáveru dodávateľ vykoná záznam do prevádzkového denníka požiarneho uzáveru, ktorý bude predložený príslušným správcom objektu.</w:t>
      </w: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sz w:val="22"/>
        </w:rPr>
      </w:pP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b/>
          <w:sz w:val="22"/>
          <w:u w:val="single"/>
        </w:rPr>
      </w:pPr>
      <w:r w:rsidRPr="00EF0355">
        <w:rPr>
          <w:rFonts w:ascii="Arial Narrow" w:hAnsi="Arial Narrow"/>
          <w:b/>
          <w:sz w:val="22"/>
          <w:u w:val="single"/>
        </w:rPr>
        <w:t>V objektoch sa nachádzajú zariadeniach nasledovných výrobcov:</w:t>
      </w: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b/>
          <w:bCs/>
          <w:iCs/>
          <w:sz w:val="22"/>
        </w:rPr>
      </w:pPr>
      <w:r w:rsidRPr="00EF0355">
        <w:rPr>
          <w:rFonts w:ascii="Arial Narrow" w:hAnsi="Arial Narrow"/>
          <w:b/>
          <w:bCs/>
          <w:iCs/>
          <w:sz w:val="22"/>
        </w:rPr>
        <w:t xml:space="preserve">Výrobcovia požiarnych uzáverov : PYROBATYS, KRONODOOR, VAHOLZ </w:t>
      </w:r>
      <w:proofErr w:type="spellStart"/>
      <w:r w:rsidRPr="00EF0355">
        <w:rPr>
          <w:rFonts w:ascii="Arial Narrow" w:hAnsi="Arial Narrow"/>
          <w:b/>
          <w:bCs/>
          <w:iCs/>
          <w:sz w:val="22"/>
        </w:rPr>
        <w:t>s.f</w:t>
      </w:r>
      <w:proofErr w:type="spellEnd"/>
      <w:r w:rsidRPr="00EF0355">
        <w:rPr>
          <w:rFonts w:ascii="Arial Narrow" w:hAnsi="Arial Narrow"/>
          <w:b/>
          <w:bCs/>
          <w:iCs/>
          <w:sz w:val="22"/>
        </w:rPr>
        <w:t>., LARK, ADLO, TDZ š.p. Turany - DREVINA Turany, ALUBATYS</w:t>
      </w:r>
      <w:r>
        <w:rPr>
          <w:rFonts w:ascii="Arial Narrow" w:hAnsi="Arial Narrow"/>
          <w:b/>
          <w:bCs/>
          <w:iCs/>
          <w:sz w:val="22"/>
        </w:rPr>
        <w:t xml:space="preserve">, </w:t>
      </w:r>
      <w:r w:rsidRPr="00300844">
        <w:rPr>
          <w:rFonts w:ascii="Arial Narrow" w:hAnsi="Arial Narrow"/>
          <w:b/>
          <w:bCs/>
          <w:iCs/>
          <w:sz w:val="22"/>
        </w:rPr>
        <w:t>SHERLOCK, IMOS, BEN s.r.o., FIRES</w:t>
      </w:r>
      <w:r>
        <w:rPr>
          <w:rFonts w:ascii="Arial Narrow" w:hAnsi="Arial Narrow"/>
          <w:b/>
          <w:bCs/>
          <w:iCs/>
          <w:sz w:val="22"/>
        </w:rPr>
        <w:t>.</w:t>
      </w:r>
    </w:p>
    <w:p w:rsidR="00A64F22" w:rsidRPr="00EF0355" w:rsidRDefault="00A64F22" w:rsidP="00A64F22">
      <w:pPr>
        <w:autoSpaceDE w:val="0"/>
        <w:autoSpaceDN w:val="0"/>
        <w:jc w:val="both"/>
        <w:rPr>
          <w:rFonts w:ascii="Arial Narrow" w:hAnsi="Arial Narrow"/>
          <w:iCs/>
          <w:sz w:val="22"/>
        </w:rPr>
      </w:pPr>
      <w:r w:rsidRPr="00EF0355">
        <w:rPr>
          <w:rFonts w:ascii="Arial Narrow" w:hAnsi="Arial Narrow"/>
          <w:sz w:val="22"/>
        </w:rPr>
        <w:lastRenderedPageBreak/>
        <w:t xml:space="preserve">Realizáciu kontrol, tlakových skúšok a opráv hasiacich prístrojov, kontrol zariadení na dodávku vody na hasenie požiarov po ich odovzdaní do užívania a tlakových skúšok požiarnych hadíc, údržieb a prehliadok požiarnych uzáverov </w:t>
      </w:r>
      <w:r w:rsidRPr="00EF0355">
        <w:rPr>
          <w:rFonts w:ascii="Arial Narrow" w:hAnsi="Arial Narrow"/>
          <w:b/>
          <w:sz w:val="22"/>
          <w:u w:val="single"/>
        </w:rPr>
        <w:t>v objektoch</w:t>
      </w:r>
      <w:r w:rsidRPr="00EF0355">
        <w:rPr>
          <w:rFonts w:ascii="Arial Narrow" w:hAnsi="Arial Narrow"/>
          <w:sz w:val="22"/>
        </w:rPr>
        <w:t xml:space="preserve"> Ministerstva vnútra Slovenskej republiky na základe objednávky, ktorú vystavuje sekcia krízového riadenia Ministerstva vnútra Slovenskej republiky, budú svojim podpisom potvrdzovať správcovia objektov. </w:t>
      </w:r>
      <w:r w:rsidRPr="00EF0355">
        <w:rPr>
          <w:rFonts w:ascii="Arial Narrow" w:hAnsi="Arial Narrow"/>
          <w:iCs/>
          <w:sz w:val="22"/>
        </w:rPr>
        <w:t xml:space="preserve">Potvrdenie realizácie dodávateľských služieb je potrebné k fakturácii, t.j. ide o potvrdenie správcom, že uvedené služby boli reálne vykonané v objektoch Ministerstva vnútra Slovenskej republiky v danom termíne. Fakturáciu za realizáciu kontrol, tlakových skúšok a opráv hasiacich prístrojov, kontrol a tlakových skúšok tesnosti požiarnych vodovodov, údržieb a prehliadok požiarnych uzáverov </w:t>
      </w:r>
      <w:r w:rsidRPr="00EF0355">
        <w:rPr>
          <w:rFonts w:ascii="Arial Narrow" w:hAnsi="Arial Narrow"/>
          <w:b/>
          <w:iCs/>
          <w:sz w:val="22"/>
          <w:u w:val="single"/>
        </w:rPr>
        <w:t>v objektoch</w:t>
      </w:r>
      <w:r w:rsidRPr="00EF0355">
        <w:rPr>
          <w:rFonts w:ascii="Arial Narrow" w:hAnsi="Arial Narrow"/>
          <w:iCs/>
          <w:sz w:val="22"/>
        </w:rPr>
        <w:t xml:space="preserve"> Ministerstva vnútra Slovenskej republiky v súlade s rámcovou dohodou rieši a zabezpečuje sekcia krízového riadenia Ministerstva vnútra Slovenskej republiky. O realizácii vykonania </w:t>
      </w:r>
      <w:r w:rsidRPr="00EF0355">
        <w:rPr>
          <w:rFonts w:ascii="Arial Narrow" w:hAnsi="Arial Narrow"/>
          <w:sz w:val="22"/>
        </w:rPr>
        <w:t xml:space="preserve">kontroly a opráv </w:t>
      </w:r>
      <w:r w:rsidRPr="00EF0355">
        <w:rPr>
          <w:rFonts w:ascii="Arial Narrow" w:hAnsi="Arial Narrow"/>
          <w:b/>
          <w:iCs/>
          <w:sz w:val="22"/>
          <w:u w:val="single"/>
        </w:rPr>
        <w:t>v objektoch</w:t>
      </w:r>
      <w:r w:rsidRPr="00EF0355">
        <w:rPr>
          <w:rFonts w:ascii="Arial Narrow" w:hAnsi="Arial Narrow"/>
          <w:iCs/>
          <w:sz w:val="22"/>
        </w:rPr>
        <w:t xml:space="preserve"> Ministerstva vnútra Slovenskej republiky a o termíne a čase bude  dodávateľ služieb včas  informovať správcu príslušného objektu a príslušného technika BOZP a PO. </w:t>
      </w:r>
    </w:p>
    <w:p w:rsidR="00A64F22" w:rsidRPr="00EF0355" w:rsidRDefault="00A64F22" w:rsidP="00A64F22">
      <w:pPr>
        <w:shd w:val="clear" w:color="auto" w:fill="FFFFFF"/>
        <w:tabs>
          <w:tab w:val="left" w:pos="709"/>
        </w:tabs>
        <w:spacing w:before="100" w:beforeAutospacing="1" w:after="100" w:afterAutospacing="1"/>
        <w:jc w:val="both"/>
        <w:rPr>
          <w:rFonts w:ascii="Arial Narrow" w:hAnsi="Arial Narrow"/>
          <w:iCs/>
          <w:sz w:val="22"/>
        </w:rPr>
      </w:pPr>
      <w:r w:rsidRPr="00EF0355">
        <w:rPr>
          <w:rFonts w:ascii="Arial Narrow" w:hAnsi="Arial Narrow"/>
          <w:iCs/>
          <w:sz w:val="22"/>
        </w:rPr>
        <w:t xml:space="preserve">Realizácie kontrol, tlakových skúšok a opráv hasiacich prístrojov </w:t>
      </w:r>
      <w:r w:rsidRPr="00EF0355">
        <w:rPr>
          <w:rFonts w:ascii="Arial Narrow" w:hAnsi="Arial Narrow"/>
          <w:b/>
          <w:iCs/>
          <w:sz w:val="22"/>
          <w:u w:val="single"/>
        </w:rPr>
        <w:t>v služobných cestných vozidlách</w:t>
      </w:r>
      <w:r w:rsidRPr="00EF0355">
        <w:rPr>
          <w:rFonts w:ascii="Arial Narrow" w:hAnsi="Arial Narrow"/>
          <w:iCs/>
          <w:sz w:val="22"/>
        </w:rPr>
        <w:t xml:space="preserve"> Ministerstva vnútra Slovenskej republiky a následné fakturácie budú prebiehať na základe bližších informácií pri zaslaní objednávky (miesto, termín, kontaktná osoba / útvar MV SR).</w:t>
      </w:r>
    </w:p>
    <w:p w:rsidR="00A64F22" w:rsidRPr="00EF0355"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1 - Bratislavský kraj</w:t>
            </w:r>
          </w:p>
        </w:tc>
        <w:tc>
          <w:tcPr>
            <w:tcW w:w="2693"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2.021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461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40</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767</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233</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2 - Trnavský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790</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272</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56</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191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124</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3 – Nitriansky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1.823</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349</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lastRenderedPageBreak/>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48</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penový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311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269</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4 - Trenčiansky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985</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284</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15</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234</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250</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5 - Žilinský kraj</w:t>
            </w:r>
          </w:p>
        </w:tc>
        <w:tc>
          <w:tcPr>
            <w:tcW w:w="2693"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1.506</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416</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71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354</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261</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6 - Banskobystrický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1.673</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401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43</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263</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203</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7 - Prešovský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lastRenderedPageBreak/>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2.032</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556</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71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431</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695</w:t>
            </w:r>
          </w:p>
        </w:tc>
      </w:tr>
    </w:tbl>
    <w:p w:rsidR="00A64F22" w:rsidRPr="009A2569" w:rsidRDefault="00A64F22" w:rsidP="00A64F22">
      <w:pPr>
        <w:rPr>
          <w:rFonts w:ascii="Arial Narrow" w:hAnsi="Arial Narrow"/>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tblGrid>
      <w:tr w:rsidR="00A64F22" w:rsidRPr="009A2569" w:rsidTr="0049157A">
        <w:tc>
          <w:tcPr>
            <w:tcW w:w="2518" w:type="dxa"/>
            <w:shd w:val="clear" w:color="auto" w:fill="auto"/>
          </w:tcPr>
          <w:p w:rsidR="00A64F22" w:rsidRPr="009A2569" w:rsidRDefault="00A64F22" w:rsidP="0049157A">
            <w:pPr>
              <w:rPr>
                <w:rFonts w:ascii="Arial Narrow" w:hAnsi="Arial Narrow"/>
                <w:b/>
                <w:sz w:val="22"/>
              </w:rPr>
            </w:pPr>
            <w:r w:rsidRPr="009A2569">
              <w:rPr>
                <w:rFonts w:ascii="Arial Narrow" w:hAnsi="Arial Narrow"/>
                <w:b/>
                <w:sz w:val="22"/>
              </w:rPr>
              <w:t>Časť 8 - Košický kraj</w:t>
            </w:r>
          </w:p>
        </w:tc>
        <w:tc>
          <w:tcPr>
            <w:tcW w:w="2693" w:type="dxa"/>
            <w:shd w:val="clear" w:color="auto" w:fill="auto"/>
          </w:tcPr>
          <w:p w:rsidR="00A64F22" w:rsidRPr="009A2569" w:rsidRDefault="00A64F22" w:rsidP="0049157A">
            <w:pPr>
              <w:jc w:val="center"/>
              <w:rPr>
                <w:rFonts w:ascii="Arial Narrow" w:hAnsi="Arial Narrow"/>
                <w:b/>
                <w:sz w:val="22"/>
              </w:rPr>
            </w:pPr>
            <w:r w:rsidRPr="009A2569">
              <w:rPr>
                <w:rFonts w:ascii="Arial Narrow" w:hAnsi="Arial Narrow"/>
                <w:b/>
                <w:sz w:val="22"/>
              </w:rPr>
              <w:t>predpokladaný počet (ks)</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práškový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1.487</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snehový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337</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vodný prenosný HP</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54</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vodovod</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444</w:t>
            </w:r>
          </w:p>
        </w:tc>
      </w:tr>
      <w:tr w:rsidR="00A64F22" w:rsidRPr="009A2569" w:rsidTr="0049157A">
        <w:tc>
          <w:tcPr>
            <w:tcW w:w="2518" w:type="dxa"/>
            <w:shd w:val="clear" w:color="auto" w:fill="auto"/>
          </w:tcPr>
          <w:p w:rsidR="00A64F22" w:rsidRPr="009A2569" w:rsidRDefault="00A64F22" w:rsidP="0049157A">
            <w:pPr>
              <w:rPr>
                <w:rFonts w:ascii="Arial Narrow" w:hAnsi="Arial Narrow"/>
                <w:sz w:val="22"/>
              </w:rPr>
            </w:pPr>
            <w:r w:rsidRPr="009A2569">
              <w:rPr>
                <w:rFonts w:ascii="Arial Narrow" w:hAnsi="Arial Narrow"/>
                <w:sz w:val="22"/>
              </w:rPr>
              <w:t>požiarny uzáver</w:t>
            </w:r>
          </w:p>
        </w:tc>
        <w:tc>
          <w:tcPr>
            <w:tcW w:w="2693" w:type="dxa"/>
            <w:shd w:val="clear" w:color="auto" w:fill="auto"/>
          </w:tcPr>
          <w:p w:rsidR="00A64F22" w:rsidRPr="009A2569" w:rsidRDefault="00A64F22" w:rsidP="0049157A">
            <w:pPr>
              <w:jc w:val="center"/>
              <w:rPr>
                <w:rFonts w:ascii="Arial Narrow" w:hAnsi="Arial Narrow"/>
                <w:sz w:val="22"/>
              </w:rPr>
            </w:pPr>
            <w:r w:rsidRPr="009A2569">
              <w:rPr>
                <w:rFonts w:ascii="Arial Narrow" w:hAnsi="Arial Narrow"/>
                <w:sz w:val="22"/>
              </w:rPr>
              <w:t>336</w:t>
            </w:r>
          </w:p>
        </w:tc>
      </w:tr>
    </w:tbl>
    <w:p w:rsidR="00A64F22" w:rsidRPr="00EF0355" w:rsidRDefault="00A64F22" w:rsidP="00A64F22">
      <w:pPr>
        <w:ind w:left="360"/>
        <w:jc w:val="both"/>
        <w:rPr>
          <w:rFonts w:ascii="Arial Narrow" w:hAnsi="Arial Narrow"/>
          <w:sz w:val="22"/>
        </w:rPr>
      </w:pPr>
    </w:p>
    <w:p w:rsidR="00A64F22" w:rsidRPr="00EF0355" w:rsidRDefault="00A64F22" w:rsidP="00A64F22">
      <w:pPr>
        <w:rPr>
          <w:rFonts w:ascii="Arial Narrow" w:hAnsi="Arial Narrow"/>
          <w:sz w:val="22"/>
        </w:rPr>
      </w:pPr>
    </w:p>
    <w:p w:rsidR="00D814F6" w:rsidRDefault="00D814F6"/>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1B7"/>
    <w:multiLevelType w:val="hybridMultilevel"/>
    <w:tmpl w:val="ED1A8C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63E6455"/>
    <w:multiLevelType w:val="hybridMultilevel"/>
    <w:tmpl w:val="56349D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81556B3"/>
    <w:multiLevelType w:val="hybridMultilevel"/>
    <w:tmpl w:val="B478D6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DE41C3B"/>
    <w:multiLevelType w:val="hybridMultilevel"/>
    <w:tmpl w:val="55D66B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FC367FB"/>
    <w:multiLevelType w:val="hybridMultilevel"/>
    <w:tmpl w:val="3F7A88B4"/>
    <w:lvl w:ilvl="0" w:tplc="041B000F">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nsid w:val="40925E1E"/>
    <w:multiLevelType w:val="hybridMultilevel"/>
    <w:tmpl w:val="F6C6C0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8">
    <w:nsid w:val="4DC53591"/>
    <w:multiLevelType w:val="multilevel"/>
    <w:tmpl w:val="6914A46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E1073C3"/>
    <w:multiLevelType w:val="hybridMultilevel"/>
    <w:tmpl w:val="6C5470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27342A6"/>
    <w:multiLevelType w:val="hybridMultilevel"/>
    <w:tmpl w:val="4C3CF6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6F65252"/>
    <w:multiLevelType w:val="hybridMultilevel"/>
    <w:tmpl w:val="844E12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2B03871"/>
    <w:multiLevelType w:val="hybridMultilevel"/>
    <w:tmpl w:val="E82A49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0D27A6A"/>
    <w:multiLevelType w:val="hybridMultilevel"/>
    <w:tmpl w:val="2F846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2"/>
  </w:num>
  <w:num w:numId="5">
    <w:abstractNumId w:val="11"/>
  </w:num>
  <w:num w:numId="6">
    <w:abstractNumId w:val="8"/>
  </w:num>
  <w:num w:numId="7">
    <w:abstractNumId w:val="3"/>
  </w:num>
  <w:num w:numId="8">
    <w:abstractNumId w:val="12"/>
  </w:num>
  <w:num w:numId="9">
    <w:abstractNumId w:val="0"/>
  </w:num>
  <w:num w:numId="10">
    <w:abstractNumId w:val="6"/>
  </w:num>
  <w:num w:numId="11">
    <w:abstractNumId w:val="4"/>
  </w:num>
  <w:num w:numId="12">
    <w:abstractNumId w:val="14"/>
  </w:num>
  <w:num w:numId="13">
    <w:abstractNumId w:val="1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F22"/>
    <w:rsid w:val="00887499"/>
    <w:rsid w:val="008D235D"/>
    <w:rsid w:val="009B5C05"/>
    <w:rsid w:val="00A64F22"/>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F22"/>
    <w:pPr>
      <w:spacing w:after="200" w:line="276" w:lineRule="auto"/>
    </w:pPr>
    <w:rPr>
      <w:rFonts w:eastAsia="Calibri"/>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customStyle="1" w:styleId="Zkladntext">
    <w:name w:val="Základný text_"/>
    <w:link w:val="Zkladntext1"/>
    <w:rsid w:val="00A64F22"/>
    <w:rPr>
      <w:sz w:val="21"/>
      <w:szCs w:val="21"/>
      <w:shd w:val="clear" w:color="auto" w:fill="FFFFFF"/>
    </w:rPr>
  </w:style>
  <w:style w:type="paragraph" w:customStyle="1" w:styleId="Zkladntext1">
    <w:name w:val="Základný text1"/>
    <w:basedOn w:val="Normlny"/>
    <w:link w:val="Zkladntext"/>
    <w:rsid w:val="00A64F22"/>
    <w:pPr>
      <w:widowControl w:val="0"/>
      <w:shd w:val="clear" w:color="auto" w:fill="FFFFFF"/>
      <w:spacing w:before="240" w:after="120" w:line="0" w:lineRule="atLeast"/>
      <w:ind w:hanging="720"/>
      <w:jc w:val="both"/>
    </w:pPr>
    <w:rPr>
      <w:rFonts w:eastAsia="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4F22"/>
    <w:pPr>
      <w:spacing w:after="200" w:line="276" w:lineRule="auto"/>
    </w:pPr>
    <w:rPr>
      <w:rFonts w:eastAsia="Calibri"/>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8D235D"/>
    <w:pPr>
      <w:ind w:left="708"/>
    </w:pPr>
  </w:style>
  <w:style w:type="character" w:customStyle="1" w:styleId="OdsekzoznamuChar">
    <w:name w:val="Odsek zoznamu Char"/>
    <w:aliases w:val="body Char,List Paragraph Char"/>
    <w:link w:val="Odsekzoznamu"/>
    <w:uiPriority w:val="34"/>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character" w:customStyle="1" w:styleId="Zkladntext">
    <w:name w:val="Základný text_"/>
    <w:link w:val="Zkladntext1"/>
    <w:rsid w:val="00A64F22"/>
    <w:rPr>
      <w:sz w:val="21"/>
      <w:szCs w:val="21"/>
      <w:shd w:val="clear" w:color="auto" w:fill="FFFFFF"/>
    </w:rPr>
  </w:style>
  <w:style w:type="paragraph" w:customStyle="1" w:styleId="Zkladntext1">
    <w:name w:val="Základný text1"/>
    <w:basedOn w:val="Normlny"/>
    <w:link w:val="Zkladntext"/>
    <w:rsid w:val="00A64F22"/>
    <w:pPr>
      <w:widowControl w:val="0"/>
      <w:shd w:val="clear" w:color="auto" w:fill="FFFFFF"/>
      <w:spacing w:before="240" w:after="120" w:line="0" w:lineRule="atLeast"/>
      <w:ind w:hanging="720"/>
      <w:jc w:val="both"/>
    </w:pPr>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2754</Words>
  <Characters>15698</Characters>
  <Application>Microsoft Office Word</Application>
  <DocSecurity>0</DocSecurity>
  <Lines>130</Lines>
  <Paragraphs>36</Paragraphs>
  <ScaleCrop>false</ScaleCrop>
  <Company>MVSR</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2</cp:revision>
  <dcterms:created xsi:type="dcterms:W3CDTF">2019-10-24T08:44:00Z</dcterms:created>
  <dcterms:modified xsi:type="dcterms:W3CDTF">2019-10-29T09:51:00Z</dcterms:modified>
</cp:coreProperties>
</file>