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80" w:rsidRPr="002629E7" w:rsidRDefault="00E85980" w:rsidP="00E85980">
      <w:pPr>
        <w:spacing w:line="259" w:lineRule="auto"/>
        <w:ind w:left="4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2629E7">
        <w:rPr>
          <w:rFonts w:asciiTheme="minorHAnsi" w:hAnsiTheme="minorHAnsi"/>
          <w:b/>
          <w:sz w:val="40"/>
          <w:szCs w:val="40"/>
        </w:rPr>
        <w:t>Zmluva</w:t>
      </w:r>
    </w:p>
    <w:p w:rsidR="00E85980" w:rsidRPr="005F70E7" w:rsidRDefault="00E85980" w:rsidP="00E85980">
      <w:pPr>
        <w:spacing w:line="259" w:lineRule="auto"/>
        <w:ind w:left="4"/>
        <w:jc w:val="center"/>
        <w:rPr>
          <w:rFonts w:asciiTheme="minorHAnsi" w:hAnsiTheme="minorHAnsi"/>
        </w:rPr>
      </w:pPr>
      <w:r w:rsidRPr="002629E7">
        <w:rPr>
          <w:rFonts w:asciiTheme="minorHAnsi" w:hAnsiTheme="minorHAnsi"/>
          <w:b/>
          <w:sz w:val="40"/>
          <w:szCs w:val="40"/>
        </w:rPr>
        <w:t xml:space="preserve">o kúpe Meteorologických </w:t>
      </w:r>
      <w:r>
        <w:rPr>
          <w:rFonts w:asciiTheme="minorHAnsi" w:hAnsiTheme="minorHAnsi"/>
          <w:b/>
          <w:sz w:val="40"/>
          <w:szCs w:val="40"/>
        </w:rPr>
        <w:t>staníc (príslušenstvo k laserovému trackeru)</w:t>
      </w:r>
      <w:r w:rsidRPr="002629E7">
        <w:rPr>
          <w:rFonts w:asciiTheme="minorHAnsi" w:hAnsiTheme="minorHAnsi"/>
          <w:b/>
          <w:sz w:val="40"/>
          <w:szCs w:val="40"/>
        </w:rPr>
        <w:t xml:space="preserve"> </w:t>
      </w:r>
    </w:p>
    <w:p w:rsidR="00E85980" w:rsidRPr="005F70E7" w:rsidRDefault="00E85980" w:rsidP="00E85980">
      <w:pPr>
        <w:autoSpaceDE w:val="0"/>
        <w:autoSpaceDN w:val="0"/>
        <w:adjustRightInd w:val="0"/>
        <w:rPr>
          <w:rFonts w:asciiTheme="minorHAnsi" w:hAnsiTheme="minorHAnsi" w:cs="Calibri"/>
          <w:sz w:val="22"/>
        </w:rPr>
      </w:pPr>
      <w:r w:rsidRPr="005F70E7">
        <w:rPr>
          <w:rFonts w:asciiTheme="minorHAnsi" w:hAnsiTheme="minorHAnsi"/>
          <w:sz w:val="22"/>
        </w:rPr>
        <w:t xml:space="preserve">uzatvorená podľa § 409 a nasl. Obchodného zákonníka (zákon č. 513/1991 Zb.) v znení neskorších predpisov a na základe zákona </w:t>
      </w:r>
      <w:r w:rsidRPr="005F70E7">
        <w:rPr>
          <w:rFonts w:asciiTheme="minorHAnsi" w:hAnsiTheme="minorHAnsi" w:cs="Calibri"/>
          <w:sz w:val="22"/>
        </w:rPr>
        <w:t xml:space="preserve">č. 343/2015 Z. z. o verejnom obstarávaní a o zmene a doplnení niektorých zákonov </w:t>
      </w:r>
      <w:r w:rsidRPr="005F70E7">
        <w:rPr>
          <w:rFonts w:asciiTheme="minorHAnsi" w:hAnsiTheme="minorHAnsi"/>
          <w:sz w:val="22"/>
        </w:rPr>
        <w:t xml:space="preserve">v znení neskorších predpisov </w:t>
      </w:r>
      <w:r w:rsidRPr="005F70E7">
        <w:rPr>
          <w:rFonts w:asciiTheme="minorHAnsi" w:hAnsiTheme="minorHAnsi"/>
          <w:b/>
          <w:sz w:val="22"/>
        </w:rPr>
        <w:t>(ďalej len „Zmluva“)</w:t>
      </w:r>
    </w:p>
    <w:p w:rsidR="00E85980" w:rsidRPr="005F70E7" w:rsidRDefault="00E85980" w:rsidP="00E85980">
      <w:pPr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spacing w:after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Kupujúci</w:t>
      </w:r>
    </w:p>
    <w:p w:rsidR="00E85980" w:rsidRPr="005F70E7" w:rsidRDefault="00E85980" w:rsidP="00E85980">
      <w:pPr>
        <w:contextualSpacing/>
        <w:rPr>
          <w:rFonts w:asciiTheme="minorHAnsi" w:hAnsiTheme="minorHAnsi"/>
          <w:b/>
          <w:bCs/>
          <w:kern w:val="24"/>
          <w:sz w:val="22"/>
        </w:rPr>
      </w:pPr>
      <w:r w:rsidRPr="005F70E7">
        <w:rPr>
          <w:rFonts w:asciiTheme="minorHAnsi" w:hAnsiTheme="minorHAnsi"/>
          <w:b/>
          <w:bCs/>
          <w:kern w:val="24"/>
          <w:sz w:val="22"/>
        </w:rPr>
        <w:t>Názov:</w:t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  <w:t>Výskumný ústav geodézie a kartografie v Bratislave</w:t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Sídlo: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Chlumeckého 4, 826 62 Bratislava</w:t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IČO: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00166251</w:t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DIČ: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  <w:t>2020857080</w:t>
      </w:r>
    </w:p>
    <w:p w:rsidR="00E85980" w:rsidRPr="005F70E7" w:rsidRDefault="00E85980" w:rsidP="00E85980">
      <w:pPr>
        <w:contextualSpacing/>
        <w:rPr>
          <w:rFonts w:asciiTheme="minorHAnsi" w:hAnsiTheme="minorHAnsi"/>
          <w:bCs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Zastúpený: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1A6478">
        <w:rPr>
          <w:rFonts w:asciiTheme="minorHAnsi" w:hAnsiTheme="minorHAnsi"/>
          <w:kern w:val="24"/>
          <w:sz w:val="22"/>
        </w:rPr>
        <w:t>Ing. Tomáš Kubasák</w:t>
      </w:r>
      <w:r w:rsidRPr="005F70E7">
        <w:rPr>
          <w:rFonts w:asciiTheme="minorHAnsi" w:hAnsiTheme="minorHAnsi"/>
          <w:bCs/>
          <w:kern w:val="24"/>
          <w:sz w:val="22"/>
        </w:rPr>
        <w:t xml:space="preserve">, </w:t>
      </w:r>
      <w:r w:rsidRPr="005F70E7">
        <w:rPr>
          <w:rFonts w:asciiTheme="minorHAnsi" w:hAnsiTheme="minorHAnsi"/>
          <w:kern w:val="24"/>
          <w:sz w:val="22"/>
        </w:rPr>
        <w:t>riaditeľ</w:t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Bankové spojenie:</w:t>
      </w:r>
      <w:r w:rsidRPr="005F70E7">
        <w:rPr>
          <w:rFonts w:asciiTheme="minorHAnsi" w:hAnsiTheme="minorHAnsi"/>
          <w:kern w:val="24"/>
          <w:sz w:val="22"/>
        </w:rPr>
        <w:tab/>
        <w:t>Štátna pokladnica</w:t>
      </w:r>
    </w:p>
    <w:p w:rsidR="00E85980" w:rsidRPr="005F70E7" w:rsidRDefault="00E85980" w:rsidP="00E85980">
      <w:pPr>
        <w:shd w:val="clear" w:color="auto" w:fill="FFFFFF"/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 xml:space="preserve">Číslo účtu- IBAN:  </w:t>
      </w:r>
      <w:r w:rsidRPr="005F70E7">
        <w:rPr>
          <w:rFonts w:asciiTheme="minorHAnsi" w:hAnsiTheme="minorHAnsi"/>
          <w:kern w:val="24"/>
          <w:sz w:val="22"/>
        </w:rPr>
        <w:tab/>
      </w:r>
      <w:r>
        <w:rPr>
          <w:rFonts w:asciiTheme="minorHAnsi" w:hAnsiTheme="minorHAnsi"/>
          <w:kern w:val="24"/>
          <w:sz w:val="22"/>
        </w:rPr>
        <w:t>SK71 8180 0000 0070 0049 6757</w:t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>
        <w:rPr>
          <w:rFonts w:asciiTheme="minorHAnsi" w:hAnsiTheme="minorHAnsi"/>
          <w:kern w:val="24"/>
          <w:sz w:val="22"/>
        </w:rPr>
        <w:t xml:space="preserve"> </w:t>
      </w:r>
    </w:p>
    <w:p w:rsidR="00E85980" w:rsidRPr="005F70E7" w:rsidRDefault="00E85980" w:rsidP="00E85980">
      <w:pPr>
        <w:spacing w:after="4"/>
        <w:ind w:left="-5" w:hanging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(ďalej len </w:t>
      </w:r>
      <w:r w:rsidRPr="005F70E7">
        <w:rPr>
          <w:rFonts w:asciiTheme="minorHAnsi" w:hAnsiTheme="minorHAnsi"/>
          <w:b/>
          <w:sz w:val="22"/>
        </w:rPr>
        <w:t>„Kupujúci“</w:t>
      </w:r>
      <w:r w:rsidRPr="005F70E7">
        <w:rPr>
          <w:rFonts w:asciiTheme="minorHAnsi" w:hAnsiTheme="minorHAnsi"/>
          <w:sz w:val="22"/>
        </w:rPr>
        <w:t xml:space="preserve">) </w:t>
      </w:r>
    </w:p>
    <w:p w:rsidR="00E85980" w:rsidRPr="005F70E7" w:rsidRDefault="00E85980" w:rsidP="00E85980">
      <w:pPr>
        <w:spacing w:after="10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spacing w:after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a</w:t>
      </w:r>
    </w:p>
    <w:p w:rsidR="00E85980" w:rsidRPr="005F70E7" w:rsidRDefault="00E85980" w:rsidP="00E85980">
      <w:pPr>
        <w:spacing w:after="10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tabs>
          <w:tab w:val="center" w:pos="2124"/>
        </w:tabs>
        <w:spacing w:after="11"/>
        <w:ind w:left="-15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Predávajúci :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</w:p>
    <w:p w:rsidR="00E85980" w:rsidRPr="005F70E7" w:rsidRDefault="00E85980" w:rsidP="00E85980">
      <w:pPr>
        <w:contextualSpacing/>
        <w:rPr>
          <w:rFonts w:asciiTheme="minorHAnsi" w:hAnsiTheme="minorHAnsi"/>
          <w:b/>
          <w:bCs/>
          <w:kern w:val="24"/>
          <w:sz w:val="22"/>
        </w:rPr>
      </w:pPr>
      <w:r w:rsidRPr="005F70E7">
        <w:rPr>
          <w:rFonts w:asciiTheme="minorHAnsi" w:hAnsiTheme="minorHAnsi"/>
          <w:b/>
          <w:bCs/>
          <w:kern w:val="24"/>
          <w:sz w:val="22"/>
        </w:rPr>
        <w:t>Názov:</w:t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  <w:r w:rsidRPr="005F70E7">
        <w:rPr>
          <w:rFonts w:asciiTheme="minorHAnsi" w:hAnsiTheme="minorHAnsi"/>
          <w:b/>
          <w:bCs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Sídlo: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IČO: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DIČ: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bCs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Zastúpený: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>Bankové spojenie: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shd w:val="clear" w:color="auto" w:fill="FFFFFF"/>
        <w:contextualSpacing/>
        <w:rPr>
          <w:rFonts w:asciiTheme="minorHAnsi" w:hAnsiTheme="minorHAnsi"/>
          <w:kern w:val="24"/>
          <w:sz w:val="22"/>
        </w:rPr>
      </w:pPr>
      <w:r w:rsidRPr="005F70E7">
        <w:rPr>
          <w:rFonts w:asciiTheme="minorHAnsi" w:hAnsiTheme="minorHAnsi"/>
          <w:kern w:val="24"/>
          <w:sz w:val="22"/>
        </w:rPr>
        <w:t xml:space="preserve">Číslo účtu- IBAN:  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contextualSpacing/>
        <w:rPr>
          <w:rFonts w:asciiTheme="minorHAnsi" w:hAnsiTheme="minorHAnsi"/>
          <w:kern w:val="24"/>
          <w:sz w:val="22"/>
        </w:rPr>
      </w:pPr>
      <w:r>
        <w:rPr>
          <w:rFonts w:asciiTheme="minorHAnsi" w:hAnsiTheme="minorHAnsi"/>
          <w:kern w:val="24"/>
          <w:sz w:val="22"/>
        </w:rPr>
        <w:t xml:space="preserve"> </w:t>
      </w:r>
      <w:r w:rsidRPr="005F70E7">
        <w:rPr>
          <w:rFonts w:asciiTheme="minorHAnsi" w:hAnsiTheme="minorHAnsi"/>
          <w:kern w:val="24"/>
          <w:sz w:val="22"/>
        </w:rPr>
        <w:tab/>
      </w:r>
      <w:r w:rsidRPr="005F70E7">
        <w:rPr>
          <w:rFonts w:asciiTheme="minorHAnsi" w:hAnsiTheme="minorHAnsi"/>
          <w:kern w:val="24"/>
          <w:sz w:val="22"/>
        </w:rPr>
        <w:tab/>
      </w:r>
    </w:p>
    <w:p w:rsidR="00E85980" w:rsidRPr="005F70E7" w:rsidRDefault="00E85980" w:rsidP="00E85980">
      <w:pPr>
        <w:spacing w:after="4"/>
        <w:ind w:left="-5" w:hanging="1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(ďalej len </w:t>
      </w:r>
      <w:r w:rsidRPr="005F70E7">
        <w:rPr>
          <w:rFonts w:asciiTheme="minorHAnsi" w:hAnsiTheme="minorHAnsi"/>
          <w:b/>
          <w:sz w:val="22"/>
        </w:rPr>
        <w:t>„Predávajúci“</w:t>
      </w:r>
      <w:r>
        <w:rPr>
          <w:rFonts w:asciiTheme="minorHAnsi" w:hAnsiTheme="minorHAnsi"/>
          <w:b/>
          <w:sz w:val="22"/>
        </w:rPr>
        <w:t xml:space="preserve"> alebo „Dodávateľ“</w:t>
      </w:r>
      <w:r w:rsidRPr="005F70E7">
        <w:rPr>
          <w:rFonts w:asciiTheme="minorHAnsi" w:hAnsiTheme="minorHAnsi"/>
          <w:sz w:val="22"/>
        </w:rPr>
        <w:t xml:space="preserve">) </w:t>
      </w:r>
    </w:p>
    <w:p w:rsidR="00E85980" w:rsidRPr="005F70E7" w:rsidRDefault="00E85980" w:rsidP="00E85980">
      <w:pPr>
        <w:spacing w:after="15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(Kupujúci a Predávajúci ďalej spolu aj ako</w:t>
      </w:r>
      <w:r w:rsidRPr="005F70E7">
        <w:rPr>
          <w:rFonts w:asciiTheme="minorHAnsi" w:hAnsiTheme="minorHAnsi"/>
          <w:b/>
          <w:sz w:val="22"/>
        </w:rPr>
        <w:t xml:space="preserve"> „Zmluvné strany“) </w:t>
      </w: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612" w:right="601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 </w:t>
      </w:r>
    </w:p>
    <w:p w:rsidR="00E85980" w:rsidRPr="005F70E7" w:rsidRDefault="00E85980" w:rsidP="00E85980">
      <w:pPr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Predmet kúpnej zmluvy </w:t>
      </w:r>
    </w:p>
    <w:p w:rsidR="00E85980" w:rsidRPr="005F70E7" w:rsidRDefault="00E85980" w:rsidP="00E85980">
      <w:pPr>
        <w:spacing w:after="31"/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1.1</w:t>
      </w:r>
      <w:r w:rsidRPr="005F70E7">
        <w:rPr>
          <w:rFonts w:asciiTheme="minorHAnsi" w:hAnsiTheme="minorHAnsi"/>
          <w:sz w:val="22"/>
        </w:rPr>
        <w:tab/>
        <w:t>Predmetom kúpnej zmluvy je Záväzok predávajúceho</w:t>
      </w:r>
      <w:r>
        <w:rPr>
          <w:rFonts w:asciiTheme="minorHAnsi" w:hAnsiTheme="minorHAnsi"/>
          <w:sz w:val="22"/>
        </w:rPr>
        <w:t xml:space="preserve"> dodať K</w:t>
      </w:r>
      <w:r w:rsidRPr="005F70E7">
        <w:rPr>
          <w:rFonts w:asciiTheme="minorHAnsi" w:hAnsiTheme="minorHAnsi"/>
          <w:sz w:val="22"/>
        </w:rPr>
        <w:t>upujúcemu hnuteľnú vec-tovar</w:t>
      </w:r>
      <w:r>
        <w:rPr>
          <w:rFonts w:asciiTheme="minorHAnsi" w:hAnsiTheme="minorHAnsi"/>
          <w:sz w:val="22"/>
        </w:rPr>
        <w:t xml:space="preserve"> a previesť na K</w:t>
      </w:r>
      <w:r w:rsidRPr="005F70E7">
        <w:rPr>
          <w:rFonts w:asciiTheme="minorHAnsi" w:hAnsiTheme="minorHAnsi"/>
          <w:sz w:val="22"/>
        </w:rPr>
        <w:t xml:space="preserve">upujúceho vlastnícke právo k tovaru. Presná technická špecifikácia tovaru je uvedená v prílohe č. 1 tejto zmluvy, ktorá je jej neoddeliteľnou súčasťou (ďalej len „Tovar“).   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1.2 </w:t>
      </w:r>
      <w:r w:rsidRPr="005F70E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Predávajúci sa zaväzuje dodať T</w:t>
      </w:r>
      <w:r w:rsidRPr="005F70E7">
        <w:rPr>
          <w:rFonts w:asciiTheme="minorHAnsi" w:hAnsiTheme="minorHAnsi"/>
          <w:sz w:val="22"/>
        </w:rPr>
        <w:t xml:space="preserve">ovar v rozsahu uvedenom v Čl. I bod 1.1. tejto zmluvy a Kupujúci sa zaväzuje predmet kúpy prevziať a zaplatiť kúpnu cenu podľa Čl. II tejto zmluvy.  </w:t>
      </w:r>
    </w:p>
    <w:p w:rsidR="00E85980" w:rsidRPr="005F70E7" w:rsidRDefault="00E85980" w:rsidP="00E85980">
      <w:pPr>
        <w:spacing w:after="17"/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1.3</w:t>
      </w:r>
      <w:r w:rsidRPr="005F70E7">
        <w:rPr>
          <w:rFonts w:asciiTheme="minorHAnsi" w:hAnsiTheme="minorHAnsi"/>
          <w:sz w:val="22"/>
        </w:rPr>
        <w:tab/>
        <w:t xml:space="preserve">Zmluva sa uzatvára v súlade s podmienkami a výsledkami verejného obstarávania č. </w:t>
      </w:r>
      <w:r>
        <w:rPr>
          <w:rFonts w:asciiTheme="minorHAnsi" w:hAnsiTheme="minorHAnsi"/>
          <w:sz w:val="22"/>
        </w:rPr>
        <w:t> </w:t>
      </w:r>
      <w:r w:rsidRPr="005F70E7">
        <w:rPr>
          <w:rFonts w:asciiTheme="minorHAnsi" w:hAnsiTheme="minorHAnsi"/>
          <w:sz w:val="22"/>
        </w:rPr>
        <w:t xml:space="preserve">................................................. realizovaného Kupujúcim. </w:t>
      </w:r>
    </w:p>
    <w:p w:rsidR="00E85980" w:rsidRPr="005F70E7" w:rsidRDefault="00E85980" w:rsidP="00E85980">
      <w:pPr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Default="00E85980" w:rsidP="00E85980">
      <w:pPr>
        <w:spacing w:after="34"/>
        <w:ind w:left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Default="00E85980" w:rsidP="00E85980">
      <w:pPr>
        <w:spacing w:after="34"/>
        <w:ind w:left="360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lastRenderedPageBreak/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II </w:t>
      </w:r>
    </w:p>
    <w:p w:rsidR="00E85980" w:rsidRPr="005F70E7" w:rsidRDefault="00E85980" w:rsidP="00E85980">
      <w:pPr>
        <w:ind w:left="612" w:right="605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Kúpna cena </w:t>
      </w:r>
    </w:p>
    <w:p w:rsidR="00E85980" w:rsidRPr="005F70E7" w:rsidRDefault="00E85980" w:rsidP="00E85980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tabs>
          <w:tab w:val="right" w:pos="9749"/>
        </w:tabs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2.1  </w:t>
      </w:r>
      <w:r w:rsidRPr="005F70E7">
        <w:rPr>
          <w:rFonts w:asciiTheme="minorHAnsi" w:hAnsiTheme="minorHAnsi"/>
          <w:sz w:val="22"/>
        </w:rPr>
        <w:tab/>
        <w:t xml:space="preserve">Kúpna cena za predmet kúpy podľa Čl. I tejto zmluvy je stanovená podľa zákona č. 18/1996 Z. z.  o cenách v znení neskorších predpisov. </w:t>
      </w:r>
    </w:p>
    <w:p w:rsidR="00E85980" w:rsidRPr="005F70E7" w:rsidRDefault="00E85980" w:rsidP="00E85980">
      <w:pPr>
        <w:spacing w:after="1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tabs>
          <w:tab w:val="center" w:pos="4558"/>
        </w:tabs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2.2 </w:t>
      </w:r>
      <w:r w:rsidRPr="005F70E7">
        <w:rPr>
          <w:rFonts w:asciiTheme="minorHAnsi" w:hAnsiTheme="minorHAnsi"/>
          <w:sz w:val="22"/>
        </w:rPr>
        <w:tab/>
        <w:t xml:space="preserve">Cena za celý predmet kúpy je vrátane DPH, dopravy, cla, správnych a iných poplatkov. </w:t>
      </w:r>
    </w:p>
    <w:p w:rsidR="00E85980" w:rsidRPr="005F70E7" w:rsidRDefault="00E85980" w:rsidP="00E85980">
      <w:pPr>
        <w:spacing w:after="17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tabs>
          <w:tab w:val="center" w:pos="4007"/>
        </w:tabs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2.3 </w:t>
      </w:r>
      <w:r w:rsidRPr="005F70E7">
        <w:rPr>
          <w:rFonts w:asciiTheme="minorHAnsi" w:hAnsiTheme="minorHAnsi"/>
          <w:sz w:val="22"/>
        </w:rPr>
        <w:tab/>
        <w:t xml:space="preserve">Kúpna cena za dodanie predmetu kúpy v zmysle Čl. I bod 1.1 tejto zmluvy: </w:t>
      </w:r>
    </w:p>
    <w:p w:rsidR="00E85980" w:rsidRPr="002E3496" w:rsidRDefault="00E85980" w:rsidP="00E85980">
      <w:pPr>
        <w:tabs>
          <w:tab w:val="center" w:pos="929"/>
          <w:tab w:val="center" w:pos="2127"/>
          <w:tab w:val="center" w:pos="4262"/>
        </w:tabs>
        <w:spacing w:after="2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2.3.1 </w:t>
      </w:r>
      <w:r w:rsidRPr="005F70E7">
        <w:rPr>
          <w:rFonts w:asciiTheme="minorHAnsi" w:hAnsiTheme="minorHAnsi"/>
          <w:sz w:val="22"/>
        </w:rPr>
        <w:tab/>
      </w:r>
      <w:r w:rsidRPr="005F70E7">
        <w:rPr>
          <w:rFonts w:asciiTheme="minorHAnsi" w:hAnsiTheme="minorHAnsi"/>
          <w:b/>
          <w:sz w:val="22"/>
        </w:rPr>
        <w:t xml:space="preserve">Cena bez </w:t>
      </w:r>
      <w:r>
        <w:rPr>
          <w:rFonts w:asciiTheme="minorHAnsi" w:hAnsiTheme="minorHAnsi"/>
          <w:b/>
          <w:sz w:val="22"/>
        </w:rPr>
        <w:t xml:space="preserve">DPH: </w:t>
      </w:r>
      <w:r>
        <w:rPr>
          <w:rFonts w:asciiTheme="minorHAnsi" w:hAnsiTheme="minorHAnsi"/>
          <w:b/>
          <w:sz w:val="22"/>
        </w:rPr>
        <w:tab/>
      </w:r>
      <w:r w:rsidRPr="002E3496">
        <w:rPr>
          <w:rFonts w:asciiTheme="minorHAnsi" w:hAnsiTheme="minorHAnsi"/>
          <w:sz w:val="22"/>
        </w:rPr>
        <w:t>...................... €</w:t>
      </w:r>
    </w:p>
    <w:p w:rsidR="00E85980" w:rsidRPr="002E3496" w:rsidRDefault="00E85980" w:rsidP="00E85980">
      <w:pPr>
        <w:tabs>
          <w:tab w:val="center" w:pos="929"/>
          <w:tab w:val="center" w:pos="2127"/>
          <w:tab w:val="center" w:pos="4262"/>
        </w:tabs>
        <w:spacing w:after="2"/>
        <w:ind w:left="426" w:hanging="4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5F70E7">
        <w:rPr>
          <w:rFonts w:asciiTheme="minorHAnsi" w:hAnsiTheme="minorHAnsi"/>
          <w:sz w:val="22"/>
        </w:rPr>
        <w:t xml:space="preserve">2.3.2 DPH .......%: </w:t>
      </w:r>
      <w:r w:rsidRPr="005F70E7">
        <w:rPr>
          <w:rFonts w:asciiTheme="minorHAnsi" w:hAnsiTheme="minorHAnsi"/>
          <w:sz w:val="22"/>
        </w:rPr>
        <w:tab/>
        <w:t xml:space="preserve"> </w:t>
      </w:r>
      <w:r w:rsidRPr="005F70E7">
        <w:rPr>
          <w:rFonts w:asciiTheme="minorHAnsi" w:hAnsiTheme="minorHAnsi"/>
          <w:sz w:val="22"/>
        </w:rPr>
        <w:tab/>
      </w:r>
      <w:r w:rsidRPr="002E3496">
        <w:rPr>
          <w:rFonts w:asciiTheme="minorHAnsi" w:hAnsiTheme="minorHAnsi"/>
          <w:sz w:val="22"/>
        </w:rPr>
        <w:t>...................... €</w:t>
      </w:r>
    </w:p>
    <w:p w:rsidR="00E85980" w:rsidRPr="005F70E7" w:rsidRDefault="00E85980" w:rsidP="00E85980">
      <w:pPr>
        <w:ind w:left="426" w:hanging="434"/>
        <w:rPr>
          <w:rFonts w:asciiTheme="minorHAnsi" w:hAnsiTheme="minorHAnsi"/>
          <w:sz w:val="22"/>
        </w:rPr>
      </w:pPr>
    </w:p>
    <w:p w:rsidR="00E85980" w:rsidRPr="002E3496" w:rsidRDefault="00E85980" w:rsidP="00E85980">
      <w:pPr>
        <w:tabs>
          <w:tab w:val="center" w:pos="929"/>
          <w:tab w:val="center" w:pos="2127"/>
          <w:tab w:val="center" w:pos="4262"/>
        </w:tabs>
        <w:spacing w:after="2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</w:r>
      <w:r w:rsidRPr="005F70E7">
        <w:rPr>
          <w:rFonts w:asciiTheme="minorHAnsi" w:hAnsiTheme="minorHAnsi"/>
          <w:b/>
          <w:sz w:val="22"/>
        </w:rPr>
        <w:t xml:space="preserve">2.3.3 </w:t>
      </w:r>
      <w:r w:rsidRPr="005F70E7">
        <w:rPr>
          <w:rFonts w:asciiTheme="minorHAnsi" w:hAnsiTheme="minorHAnsi"/>
          <w:b/>
          <w:sz w:val="22"/>
        </w:rPr>
        <w:tab/>
        <w:t xml:space="preserve">cena spolu s DPH: </w:t>
      </w:r>
      <w:r w:rsidRPr="005F70E7">
        <w:rPr>
          <w:rFonts w:asciiTheme="minorHAnsi" w:hAnsiTheme="minorHAnsi"/>
          <w:b/>
          <w:sz w:val="22"/>
        </w:rPr>
        <w:tab/>
      </w:r>
      <w:r w:rsidRPr="002E3496">
        <w:rPr>
          <w:rFonts w:asciiTheme="minorHAnsi" w:hAnsiTheme="minorHAnsi"/>
          <w:sz w:val="22"/>
        </w:rPr>
        <w:t>...................... €</w:t>
      </w:r>
    </w:p>
    <w:p w:rsidR="00E85980" w:rsidRPr="005F70E7" w:rsidRDefault="00E85980" w:rsidP="00E85980">
      <w:pPr>
        <w:tabs>
          <w:tab w:val="center" w:pos="2891"/>
        </w:tabs>
        <w:ind w:left="-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                </w:t>
      </w:r>
      <w:r w:rsidRPr="005F70E7">
        <w:rPr>
          <w:rFonts w:asciiTheme="minorHAnsi" w:hAnsiTheme="minorHAnsi"/>
          <w:sz w:val="22"/>
        </w:rPr>
        <w:t xml:space="preserve">Slovom: ....................................................... EUR. </w:t>
      </w:r>
    </w:p>
    <w:p w:rsidR="00E85980" w:rsidRPr="005F70E7" w:rsidRDefault="00E85980" w:rsidP="00E85980">
      <w:pPr>
        <w:spacing w:after="1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i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>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III </w:t>
      </w:r>
    </w:p>
    <w:p w:rsidR="00E85980" w:rsidRPr="005F70E7" w:rsidRDefault="00E85980" w:rsidP="00E85980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Čas plnenia a miesto dodania </w:t>
      </w:r>
    </w:p>
    <w:p w:rsidR="00E85980" w:rsidRPr="005F70E7" w:rsidRDefault="00E85980" w:rsidP="00E85980">
      <w:pPr>
        <w:spacing w:after="13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Predávajúci sa zaväzuje splniť predmet kúpy podľa Čl. I tejto zmluvy do </w:t>
      </w:r>
      <w:r>
        <w:rPr>
          <w:rFonts w:asciiTheme="minorHAnsi" w:hAnsiTheme="minorHAnsi"/>
          <w:sz w:val="22"/>
        </w:rPr>
        <w:t>42</w:t>
      </w:r>
      <w:r w:rsidRPr="005F70E7">
        <w:rPr>
          <w:rFonts w:asciiTheme="minorHAnsi" w:hAnsiTheme="minorHAnsi"/>
          <w:sz w:val="22"/>
        </w:rPr>
        <w:t xml:space="preserve"> kalendárnych dní odo dňa nadobudnutia účinnosti tejto Zmluvy.  </w:t>
      </w:r>
    </w:p>
    <w:p w:rsidR="00E85980" w:rsidRPr="005F70E7" w:rsidRDefault="00E85980" w:rsidP="00E85980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môže odmietnuť prevzatie Tovaru, ak Tovar nespĺňa požadované kvalitatívne alebo iné podstatné parametre. Dopravné náklady v takomto prípade znáša Predávajúci. </w:t>
      </w:r>
    </w:p>
    <w:p w:rsidR="00E85980" w:rsidRPr="005F70E7" w:rsidRDefault="00E85980" w:rsidP="00E85980">
      <w:pPr>
        <w:spacing w:after="1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7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Tovar prevezme poverený zamestnanec Kupujúceho. Tovar bude dodaný a prevzatý na adrese:</w:t>
      </w:r>
      <w:r>
        <w:rPr>
          <w:rFonts w:asciiTheme="minorHAnsi" w:hAnsiTheme="minorHAnsi"/>
          <w:sz w:val="22"/>
        </w:rPr>
        <w:t>Kupujúceho</w:t>
      </w:r>
      <w:r w:rsidRPr="005F70E7">
        <w:rPr>
          <w:rFonts w:asciiTheme="minorHAnsi" w:hAnsiTheme="minorHAnsi"/>
          <w:sz w:val="22"/>
        </w:rPr>
        <w:t xml:space="preserve">.  </w:t>
      </w:r>
    </w:p>
    <w:p w:rsidR="00E85980" w:rsidRPr="005F70E7" w:rsidRDefault="00E85980" w:rsidP="00E85980">
      <w:pPr>
        <w:ind w:left="6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612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IV </w:t>
      </w:r>
    </w:p>
    <w:p w:rsidR="00E85980" w:rsidRPr="005F70E7" w:rsidRDefault="00E85980" w:rsidP="00E85980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Platobné a fakturačné podmienky </w:t>
      </w:r>
    </w:p>
    <w:p w:rsidR="00E85980" w:rsidRPr="005F70E7" w:rsidRDefault="00E85980" w:rsidP="00E85980">
      <w:pPr>
        <w:spacing w:after="19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Predávajúcemu vzniká nárok na zaplatenie kúpnej ceny podľa Čl. II tejto Zmluvy na základe riadneho plnenia predmetu Zmluvy podľa Čl. I tejto Zmluvy. </w:t>
      </w:r>
    </w:p>
    <w:p w:rsidR="00E85980" w:rsidRPr="005F70E7" w:rsidRDefault="00E85980" w:rsidP="00E85980">
      <w:pPr>
        <w:spacing w:after="15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uhradí dohodnutú kúpnu cenu Predávajúcemu po prevzatí Tovaru na základe faktúry vystavenej predávajúcim. Prílohou faktúry bude </w:t>
      </w:r>
      <w:r>
        <w:rPr>
          <w:rFonts w:asciiTheme="minorHAnsi" w:hAnsiTheme="minorHAnsi"/>
          <w:sz w:val="22"/>
        </w:rPr>
        <w:t xml:space="preserve">dodací list alebo </w:t>
      </w:r>
      <w:r w:rsidRPr="005F70E7">
        <w:rPr>
          <w:rFonts w:asciiTheme="minorHAnsi" w:hAnsiTheme="minorHAnsi"/>
          <w:sz w:val="22"/>
        </w:rPr>
        <w:t xml:space="preserve">preberací protokol podpísaný poverenými osobami oboch zmluvných strán. </w:t>
      </w:r>
    </w:p>
    <w:p w:rsidR="00E85980" w:rsidRPr="005F70E7" w:rsidRDefault="00E85980" w:rsidP="00E85980">
      <w:pPr>
        <w:pStyle w:val="Odsekzoznamu"/>
        <w:ind w:left="426" w:hanging="426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Osoba poverená zo strany Kupujúceho na prevzatie Tovaru: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Meno:</w:t>
      </w:r>
      <w:r>
        <w:rPr>
          <w:rFonts w:asciiTheme="minorHAnsi" w:hAnsiTheme="minorHAnsi"/>
          <w:sz w:val="22"/>
        </w:rPr>
        <w:tab/>
      </w:r>
      <w:r w:rsidRPr="00A671BF">
        <w:rPr>
          <w:rFonts w:asciiTheme="minorHAnsi" w:hAnsiTheme="minorHAnsi"/>
          <w:sz w:val="22"/>
        </w:rPr>
        <w:t>Ing. Petra Nemcová</w:t>
      </w:r>
    </w:p>
    <w:p w:rsidR="00E85980" w:rsidRPr="005F70E7" w:rsidRDefault="00E85980" w:rsidP="00E85980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Email:</w:t>
      </w:r>
      <w:r w:rsidRPr="00A671BF">
        <w:t xml:space="preserve"> </w:t>
      </w:r>
      <w:r>
        <w:tab/>
      </w:r>
      <w:r w:rsidRPr="00A671BF">
        <w:rPr>
          <w:rFonts w:asciiTheme="minorHAnsi" w:hAnsiTheme="minorHAnsi"/>
          <w:sz w:val="22"/>
        </w:rPr>
        <w:t>+ 421 2 2081 6191</w:t>
      </w:r>
    </w:p>
    <w:p w:rsidR="00E85980" w:rsidRPr="005F70E7" w:rsidRDefault="00E85980" w:rsidP="00E85980">
      <w:pPr>
        <w:ind w:left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Tel.: </w:t>
      </w:r>
      <w:r>
        <w:rPr>
          <w:rFonts w:asciiTheme="minorHAnsi" w:hAnsiTheme="minorHAnsi"/>
          <w:sz w:val="22"/>
        </w:rPr>
        <w:tab/>
      </w:r>
      <w:r w:rsidRPr="00A671BF">
        <w:rPr>
          <w:rFonts w:asciiTheme="minorHAnsi" w:hAnsiTheme="minorHAnsi"/>
          <w:sz w:val="22"/>
        </w:rPr>
        <w:t>petra.nemcova@skgeodesy.sk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Faktúra je splatná 30</w:t>
      </w:r>
      <w:r>
        <w:rPr>
          <w:rFonts w:asciiTheme="minorHAnsi" w:hAnsiTheme="minorHAnsi"/>
          <w:sz w:val="22"/>
        </w:rPr>
        <w:t xml:space="preserve"> kalendárnych</w:t>
      </w:r>
      <w:r w:rsidRPr="005F70E7">
        <w:rPr>
          <w:rFonts w:asciiTheme="minorHAnsi" w:hAnsiTheme="minorHAnsi"/>
          <w:sz w:val="22"/>
        </w:rPr>
        <w:t xml:space="preserve"> dní</w:t>
      </w:r>
      <w:r>
        <w:rPr>
          <w:rFonts w:asciiTheme="minorHAnsi" w:hAnsiTheme="minorHAnsi"/>
          <w:sz w:val="22"/>
        </w:rPr>
        <w:t xml:space="preserve">.30 dňová lehota splatnosti začína plynúť odo dňa doručenia faktúry Kupujúcemu. Ak deň splatnosti faktúry pripadne na deň pracovného voľna, alebo pracovného pokoja posúva sa dátum splatnosti na najbližší pracovný deň. </w:t>
      </w:r>
    </w:p>
    <w:p w:rsidR="00E85980" w:rsidRPr="005F70E7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8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Kupujúci si vyhradzuje právo vrátiť faktúru v lehote splatnosti, ak táto nemá náležitosti daňového dokladu. Dôvod vrátenia je Kupujúci povinný vyznačiť na faktúre alebo v sprievodnom liste. </w:t>
      </w:r>
      <w:r>
        <w:rPr>
          <w:rFonts w:asciiTheme="minorHAnsi" w:hAnsiTheme="minorHAnsi"/>
          <w:sz w:val="22"/>
        </w:rPr>
        <w:t xml:space="preserve">Doba splatnosti faktúry sa v tomto prípade posúva a začína plynúť od dňa doručenia opravenej faktúry Kupujúcemu.  </w:t>
      </w: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lastRenderedPageBreak/>
        <w:t xml:space="preserve"> Čl.</w:t>
      </w:r>
      <w:r>
        <w:rPr>
          <w:rFonts w:asciiTheme="minorHAnsi" w:hAnsiTheme="minorHAnsi"/>
          <w:b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V </w:t>
      </w:r>
    </w:p>
    <w:p w:rsidR="00E85980" w:rsidRPr="005F70E7" w:rsidRDefault="00E85980" w:rsidP="00E85980">
      <w:pPr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Práva a povinnosti zmluvných strán </w:t>
      </w: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tabs>
          <w:tab w:val="center" w:pos="173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5.1   </w:t>
      </w:r>
      <w:r w:rsidRPr="005F70E7">
        <w:rPr>
          <w:rFonts w:asciiTheme="minorHAnsi" w:hAnsiTheme="minorHAnsi"/>
          <w:sz w:val="22"/>
        </w:rPr>
        <w:t xml:space="preserve">Predávajúci je povinný: </w:t>
      </w:r>
    </w:p>
    <w:p w:rsidR="00E85980" w:rsidRPr="005F70E7" w:rsidRDefault="00E85980" w:rsidP="00E85980">
      <w:pPr>
        <w:ind w:left="426" w:hanging="28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a) </w:t>
      </w:r>
      <w:r w:rsidRPr="005F70E7">
        <w:rPr>
          <w:rFonts w:asciiTheme="minorHAnsi" w:hAnsiTheme="minorHAnsi"/>
          <w:sz w:val="22"/>
        </w:rPr>
        <w:tab/>
        <w:t xml:space="preserve">odovzdať predmet kúpy v plnom rozsahu, v dohodnutom termíne a v bezchybnom stave, </w:t>
      </w:r>
    </w:p>
    <w:p w:rsidR="00E85980" w:rsidRPr="005F70E7" w:rsidRDefault="00E85980" w:rsidP="00E85980">
      <w:pPr>
        <w:spacing w:after="129"/>
        <w:ind w:left="426" w:hanging="28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b) </w:t>
      </w:r>
      <w:r w:rsidRPr="005F70E7">
        <w:rPr>
          <w:rFonts w:asciiTheme="minorHAnsi" w:hAnsiTheme="minorHAnsi"/>
          <w:sz w:val="22"/>
        </w:rPr>
        <w:tab/>
        <w:t>pri odovzdávaní predmetu kúpy protokolárne ho odov</w:t>
      </w:r>
      <w:r>
        <w:rPr>
          <w:rFonts w:asciiTheme="minorHAnsi" w:hAnsiTheme="minorHAnsi"/>
          <w:sz w:val="22"/>
        </w:rPr>
        <w:t>zdať zodpovednému pracovníkovi K</w:t>
      </w:r>
      <w:r w:rsidRPr="005F70E7">
        <w:rPr>
          <w:rFonts w:asciiTheme="minorHAnsi" w:hAnsiTheme="minorHAnsi"/>
          <w:sz w:val="22"/>
        </w:rPr>
        <w:t xml:space="preserve">upujúceho v mieste dodania predmetu kúpy podľa Čl. III tejto zmluvy. </w:t>
      </w:r>
    </w:p>
    <w:p w:rsidR="00E85980" w:rsidRDefault="00E85980" w:rsidP="00E85980">
      <w:pPr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5.2 </w:t>
      </w:r>
      <w:r w:rsidRPr="005F70E7">
        <w:rPr>
          <w:rFonts w:asciiTheme="minorHAnsi" w:hAnsiTheme="minorHAnsi"/>
          <w:sz w:val="22"/>
        </w:rPr>
        <w:tab/>
        <w:t xml:space="preserve">Kupujúci je povinný na výzvu Predávajúceho prevziať Tovar v dohodnutom termíne a na dohodnutom mieste. </w:t>
      </w:r>
    </w:p>
    <w:p w:rsidR="00E85980" w:rsidRDefault="00E85980" w:rsidP="00E85980">
      <w:p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5.3 </w:t>
      </w:r>
      <w:r>
        <w:rPr>
          <w:rFonts w:asciiTheme="minorHAnsi" w:hAnsiTheme="minorHAnsi"/>
          <w:sz w:val="22"/>
        </w:rPr>
        <w:tab/>
        <w:t xml:space="preserve">V prípade omeškania Predávajúceho s dodaním Tovaru, má Kupujúci právo na Zmluvnú pokutu vo výške 0,1% z kúpnej ceny  s DPH za každý deň omeškania s dodaním Tovaru. Kupujúci si zmluvnú pokutu uplatní vystavením faktúry pre Predávajúceho s lehotou splatnosti 14 kalendárnych dní. </w:t>
      </w:r>
    </w:p>
    <w:p w:rsidR="00E85980" w:rsidRPr="00CC5AED" w:rsidRDefault="00E85980" w:rsidP="00E85980">
      <w:pPr>
        <w:ind w:left="426" w:hanging="426"/>
        <w:rPr>
          <w:rFonts w:asciiTheme="minorHAnsi" w:hAnsiTheme="minorHAnsi"/>
          <w:sz w:val="4"/>
          <w:szCs w:val="4"/>
        </w:rPr>
      </w:pPr>
    </w:p>
    <w:p w:rsidR="00E85980" w:rsidRDefault="00E85980" w:rsidP="00E85980">
      <w:pPr>
        <w:ind w:left="426" w:hanging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5.4 </w:t>
      </w:r>
      <w:r>
        <w:rPr>
          <w:rFonts w:asciiTheme="minorHAnsi" w:hAnsiTheme="minorHAnsi"/>
          <w:sz w:val="22"/>
        </w:rPr>
        <w:tab/>
        <w:t xml:space="preserve">Práva a povinnosti neupravené touto Zmluvou sa riadia súťažnými podkladmi VO. V prípade rozporov medzi súťažnými podkladmi VO a touto Zmluvou, prednosť majú podmienky uvedené v Zmluve. </w:t>
      </w:r>
    </w:p>
    <w:p w:rsidR="00E85980" w:rsidRPr="005F70E7" w:rsidRDefault="00E85980" w:rsidP="00E85980">
      <w:pPr>
        <w:spacing w:after="31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612" w:right="601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 </w:t>
      </w:r>
    </w:p>
    <w:p w:rsidR="00E85980" w:rsidRPr="005F70E7" w:rsidRDefault="00E85980" w:rsidP="00E85980">
      <w:pPr>
        <w:ind w:left="612" w:right="605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Prevod práv </w:t>
      </w:r>
    </w:p>
    <w:p w:rsidR="00E85980" w:rsidRPr="005F70E7" w:rsidRDefault="00E85980" w:rsidP="00E85980">
      <w:pPr>
        <w:spacing w:after="12"/>
        <w:ind w:left="52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numPr>
          <w:ilvl w:val="1"/>
          <w:numId w:val="6"/>
        </w:numPr>
        <w:spacing w:after="5"/>
        <w:ind w:left="426" w:hanging="426"/>
        <w:jc w:val="both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Okamihom riadneho prevzatia Tovaru Kupujúcim prechádza vlastnícke právo k Tovaru z Predávajúceho na Kupujúceho a tiež nebezpečenstvo škody na Tovare. </w:t>
      </w:r>
    </w:p>
    <w:p w:rsidR="00E85980" w:rsidRPr="005F70E7" w:rsidRDefault="00E85980" w:rsidP="00E85980">
      <w:pPr>
        <w:spacing w:after="3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612" w:right="602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VII </w:t>
      </w:r>
    </w:p>
    <w:p w:rsidR="00E85980" w:rsidRPr="005F70E7" w:rsidRDefault="00E85980" w:rsidP="00E85980">
      <w:pPr>
        <w:ind w:left="612" w:right="606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Zodpovednosť za vady </w:t>
      </w:r>
    </w:p>
    <w:p w:rsidR="00E85980" w:rsidRPr="005F70E7" w:rsidRDefault="00E85980" w:rsidP="00E85980">
      <w:pPr>
        <w:spacing w:after="20"/>
        <w:ind w:left="52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spacing w:after="128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7.1 </w:t>
      </w:r>
      <w:r w:rsidRPr="005F70E7">
        <w:rPr>
          <w:rFonts w:asciiTheme="minorHAnsi" w:hAnsiTheme="minorHAnsi"/>
          <w:sz w:val="22"/>
        </w:rPr>
        <w:tab/>
        <w:t xml:space="preserve">Predávajúci zodpovedá za to, že predmet kúpy podľa Čl. I tejto zmluvy má v čase prevzatia Zmluvne dohodnuté vlastnosti a parametre, nemá vady, ktoré by znižovali jeho hodnotu alebo schopnosť jeho využitia. </w:t>
      </w:r>
    </w:p>
    <w:p w:rsidR="00E85980" w:rsidRPr="005F70E7" w:rsidRDefault="00E85980" w:rsidP="00E85980">
      <w:pPr>
        <w:spacing w:after="128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7.</w:t>
      </w:r>
      <w:r>
        <w:rPr>
          <w:rFonts w:asciiTheme="minorHAnsi" w:hAnsiTheme="minorHAnsi"/>
          <w:sz w:val="22"/>
        </w:rPr>
        <w:t>2</w:t>
      </w:r>
      <w:r w:rsidRPr="005F70E7">
        <w:rPr>
          <w:rFonts w:asciiTheme="minorHAnsi" w:hAnsiTheme="minorHAnsi"/>
          <w:sz w:val="22"/>
        </w:rPr>
        <w:tab/>
        <w:t xml:space="preserve">Ak Predávajúci poruší ustanovenia tejto Zmluvy, Kupujúcemu vzniká nárok na náhradu škody, ktorá mu v dôsledku takéhoto konania vznikla v zmysle § 373 a nasl. Obchodného zákonníka v platnom znení. </w:t>
      </w:r>
    </w:p>
    <w:p w:rsidR="00E85980" w:rsidRPr="005F70E7" w:rsidRDefault="00E85980" w:rsidP="00E85980">
      <w:pPr>
        <w:tabs>
          <w:tab w:val="center" w:pos="4636"/>
        </w:tabs>
        <w:spacing w:after="135"/>
        <w:ind w:left="426" w:hanging="434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>7.</w:t>
      </w:r>
      <w:r>
        <w:rPr>
          <w:rFonts w:asciiTheme="minorHAnsi" w:hAnsiTheme="minorHAnsi"/>
          <w:sz w:val="22"/>
        </w:rPr>
        <w:t>3</w:t>
      </w: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Záručná doba na predmet kúpy je </w:t>
      </w:r>
      <w:r>
        <w:rPr>
          <w:rFonts w:asciiTheme="minorHAnsi" w:hAnsiTheme="minorHAnsi"/>
          <w:sz w:val="22"/>
        </w:rPr>
        <w:t>24</w:t>
      </w:r>
      <w:r w:rsidRPr="005F70E7">
        <w:rPr>
          <w:rFonts w:asciiTheme="minorHAnsi" w:hAnsiTheme="minorHAnsi"/>
          <w:sz w:val="22"/>
        </w:rPr>
        <w:t xml:space="preserve"> mesiacov odo dňa odovzdania a prebrania Tovaru.</w:t>
      </w:r>
      <w:r w:rsidRPr="005F70E7">
        <w:rPr>
          <w:rFonts w:asciiTheme="minorHAnsi" w:hAnsiTheme="minorHAnsi"/>
          <w:color w:val="FF0000"/>
          <w:sz w:val="22"/>
        </w:rPr>
        <w:t xml:space="preserve"> </w:t>
      </w:r>
    </w:p>
    <w:p w:rsidR="00E85980" w:rsidRPr="005F70E7" w:rsidRDefault="00E85980" w:rsidP="00E85980">
      <w:pPr>
        <w:tabs>
          <w:tab w:val="center" w:pos="3811"/>
        </w:tabs>
        <w:spacing w:after="137"/>
        <w:ind w:left="426" w:hanging="43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7.4</w:t>
      </w: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ab/>
        <w:t xml:space="preserve">Predávajúci na vlastné náklady odstráni vady Tovaru zistené v záručnej dobe. </w:t>
      </w: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612" w:right="604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VIII </w:t>
      </w:r>
    </w:p>
    <w:p w:rsidR="00E85980" w:rsidRPr="005F70E7" w:rsidRDefault="00E85980" w:rsidP="00E85980">
      <w:pPr>
        <w:ind w:left="612" w:right="603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Zánik zmluvy </w:t>
      </w:r>
    </w:p>
    <w:p w:rsidR="00E85980" w:rsidRPr="005F70E7" w:rsidRDefault="00E85980" w:rsidP="00E85980">
      <w:pPr>
        <w:ind w:left="58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spacing w:after="127"/>
        <w:ind w:left="426" w:hanging="426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8.1 </w:t>
      </w:r>
      <w:r w:rsidRPr="005F70E7">
        <w:rPr>
          <w:rFonts w:asciiTheme="minorHAnsi" w:hAnsiTheme="minorHAnsi"/>
          <w:sz w:val="22"/>
        </w:rPr>
        <w:tab/>
        <w:t xml:space="preserve">Ak zmluvná strana poruší podstatnú povinnosť vyplývajúcu z tejto Zmluvy, druhá zmluvná strana môže od Zmluvy odstúpiť. </w:t>
      </w:r>
    </w:p>
    <w:p w:rsidR="00E85980" w:rsidRDefault="00E85980" w:rsidP="00E85980">
      <w:pPr>
        <w:spacing w:after="15"/>
        <w:ind w:left="58"/>
        <w:jc w:val="center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spacing w:after="15"/>
        <w:ind w:left="58"/>
        <w:jc w:val="center"/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ind w:left="612" w:right="600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Čl. IX </w:t>
      </w:r>
    </w:p>
    <w:p w:rsidR="00E85980" w:rsidRPr="005F70E7" w:rsidRDefault="00E85980" w:rsidP="00E85980">
      <w:pPr>
        <w:ind w:left="612" w:right="600" w:hanging="10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Záverečné ustanovenia </w:t>
      </w:r>
    </w:p>
    <w:p w:rsidR="00E85980" w:rsidRPr="005F70E7" w:rsidRDefault="00E85980" w:rsidP="00E85980">
      <w:pPr>
        <w:spacing w:after="19"/>
        <w:ind w:left="63"/>
        <w:jc w:val="center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9.1 </w:t>
      </w:r>
      <w:r w:rsidRPr="005F70E7">
        <w:rPr>
          <w:rFonts w:asciiTheme="minorHAnsi" w:hAnsiTheme="minorHAnsi"/>
          <w:sz w:val="22"/>
        </w:rPr>
        <w:tab/>
        <w:t xml:space="preserve">Túto Zmluvu je možné meniť a dopĺňať len písomnými dodatkami podpísanými obidvoma Zmluvnými stranami. </w:t>
      </w:r>
    </w:p>
    <w:p w:rsidR="00E85980" w:rsidRPr="005F70E7" w:rsidRDefault="00E85980" w:rsidP="00E85980">
      <w:pPr>
        <w:spacing w:after="36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lastRenderedPageBreak/>
        <w:t xml:space="preserve">9.2 </w:t>
      </w:r>
      <w:r w:rsidRPr="005F70E7">
        <w:rPr>
          <w:rFonts w:asciiTheme="minorHAnsi" w:hAnsiTheme="minorHAnsi"/>
          <w:sz w:val="22"/>
        </w:rPr>
        <w:tab/>
        <w:t xml:space="preserve">Predávajúci nesie plnú zodpovednosť za škody vzniknuté Kupujúcemu v dôsledku nesplnenia Zmluvných podmienok. </w:t>
      </w:r>
    </w:p>
    <w:p w:rsidR="00E85980" w:rsidRPr="005F70E7" w:rsidRDefault="00E85980" w:rsidP="00E85980">
      <w:pPr>
        <w:spacing w:after="30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9.3 </w:t>
      </w:r>
      <w:r w:rsidRPr="005F70E7">
        <w:rPr>
          <w:rFonts w:asciiTheme="minorHAnsi" w:hAnsiTheme="minorHAnsi"/>
          <w:sz w:val="22"/>
        </w:rPr>
        <w:tab/>
        <w:t xml:space="preserve">Zmluva je vyhotovená v štyroch vyhotoveniach, z ktorých každý má platnosť originálu, pričom 2 vyhotovenia obdrží Predávajúci a 2 Kupujúci. </w:t>
      </w:r>
    </w:p>
    <w:p w:rsidR="00E85980" w:rsidRPr="005F70E7" w:rsidRDefault="00E85980" w:rsidP="00E85980">
      <w:pPr>
        <w:spacing w:after="36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9.4 </w:t>
      </w:r>
      <w:r w:rsidRPr="005F70E7">
        <w:rPr>
          <w:rFonts w:asciiTheme="minorHAnsi" w:hAnsiTheme="minorHAnsi"/>
          <w:sz w:val="22"/>
        </w:rPr>
        <w:tab/>
        <w:t xml:space="preserve">Vo všetkých prípadoch, ktoré neriešia dojednania obsiahnuté v tejto Zmluve, platia príslušné ustanovenia Obchodného zákonníka v platnom znení, Občianskeho zákonníka v platnom znení a tiež ostatných všeobecne záväzných právnych predpisov SR.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9.5 </w:t>
      </w:r>
      <w:r w:rsidRPr="005F70E7">
        <w:rPr>
          <w:rFonts w:asciiTheme="minorHAnsi" w:hAnsiTheme="minorHAnsi"/>
          <w:sz w:val="22"/>
        </w:rPr>
        <w:tab/>
        <w:t xml:space="preserve">Táto Zmluva nadobúda platnosť dňom jej podpisu obidvomi zmluvnými stranami, účinnosť nadobúda dňom nasledujúcim po dni jej zverejnenia v centrálnom registri zmlúv. </w:t>
      </w:r>
    </w:p>
    <w:p w:rsidR="00E85980" w:rsidRPr="005F70E7" w:rsidRDefault="00E85980" w:rsidP="00E85980">
      <w:pPr>
        <w:spacing w:after="39"/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420" w:hanging="42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9.6 </w:t>
      </w:r>
      <w:r w:rsidRPr="005F70E7">
        <w:rPr>
          <w:rFonts w:asciiTheme="minorHAnsi" w:hAnsiTheme="minorHAnsi"/>
          <w:sz w:val="22"/>
        </w:rPr>
        <w:tab/>
        <w:t>Zmluvné strany vyhlasujú, že túto zmluvu uzavreli na základe slobodnej vôle, táto zmluva nebola uzavretá v tiesni ani</w:t>
      </w:r>
      <w:r w:rsidRPr="005F70E7">
        <w:rPr>
          <w:rFonts w:asciiTheme="minorHAnsi" w:hAnsiTheme="minorHAnsi"/>
          <w:color w:val="FF0000"/>
          <w:sz w:val="22"/>
        </w:rPr>
        <w:t xml:space="preserve"> </w:t>
      </w:r>
      <w:r w:rsidRPr="005F70E7">
        <w:rPr>
          <w:rFonts w:asciiTheme="minorHAnsi" w:hAnsiTheme="minorHAnsi"/>
          <w:sz w:val="22"/>
        </w:rPr>
        <w:t xml:space="preserve">za nápadne nevýhodných podmienok, Zmluvné strany si ju riadne prečítali, jej obsahu porozumeli a na znak súhlasu ju podpisujú. </w:t>
      </w:r>
    </w:p>
    <w:p w:rsidR="00E85980" w:rsidRPr="005F70E7" w:rsidRDefault="00E85980" w:rsidP="00E85980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9.7 Zmluvné strany vyhlasujú, že sú si vedomé všetkých následkov vyplývajúcich z tejto Zmluvy, že ich Zmluvná voľnosť nie je ničím obmedzená a že im nie sú známe okolnosti, ktoré by im bránili platne uzavrieť túto Zmluvu. V prípade, že táto okolnosť existuje zodpovedajú za škodu, ktorá vznikne druhej zmluvnej strane na základe tohto vyhlásenia. </w:t>
      </w:r>
    </w:p>
    <w:p w:rsidR="00E85980" w:rsidRPr="005F70E7" w:rsidRDefault="00E85980" w:rsidP="00E85980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9.8 Každá zo zmluvných strán sa týmto výslovne zaväzuje, že neprevedie nijaké práva a povinnosti (záväzky) vyplývajúce zo Zmluvy, resp. jej časti na iný subjekt bez predchádzajúceho písomného súhlasu druhej Zmluvnej strany. V prípade porušenia tejto povinnosti jednou zo Zmluvných strán bude zmluva o prevode (postúpení) zmluvných záväzkov neplatná a zároveň druhá Zmluvná strana bude oprávnená od Zmluvy odstúpiť a to s účinnosťou odstúpenia ku dňu keď bolo písomné oznámenie o odstúpení od Zmluvy doručené druhej Zmluvnej strane. </w:t>
      </w:r>
    </w:p>
    <w:p w:rsidR="00E85980" w:rsidRPr="005F70E7" w:rsidRDefault="00E85980" w:rsidP="00E85980">
      <w:pPr>
        <w:spacing w:after="41"/>
        <w:ind w:left="708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</w:p>
    <w:p w:rsidR="00E85980" w:rsidRPr="005F70E7" w:rsidRDefault="00E85980" w:rsidP="00E85980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9.9 Zmluvné strany sa dohodli, že v prípade, že zmluvná strana doporučenú poštovú zásielku od druhej zmluvnej strany z akéhokoľvek dôvodu neprevezme, považuje sa táto zásielka za doručenú uplynutím desiateho dňa po jej odovzdaní na poštovú prepravu bez ohľadu na to, či bola skutočne doručená adresátovi. </w:t>
      </w:r>
    </w:p>
    <w:p w:rsidR="00E85980" w:rsidRPr="005F70E7" w:rsidRDefault="00E85980" w:rsidP="00E85980">
      <w:pPr>
        <w:ind w:left="352" w:hanging="360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9.10 Neoddeliteľnou súčasťou tejto Zmluvy je Príloha č. 1 - </w:t>
      </w:r>
      <w:r>
        <w:rPr>
          <w:rFonts w:asciiTheme="minorHAnsi" w:hAnsiTheme="minorHAnsi"/>
          <w:sz w:val="22"/>
        </w:rPr>
        <w:t>Presná technická špecifikácia T</w:t>
      </w:r>
      <w:r w:rsidRPr="005F70E7">
        <w:rPr>
          <w:rFonts w:asciiTheme="minorHAnsi" w:hAnsiTheme="minorHAnsi"/>
          <w:sz w:val="22"/>
        </w:rPr>
        <w:t>ovaru</w:t>
      </w:r>
      <w:r>
        <w:rPr>
          <w:rFonts w:asciiTheme="minorHAnsi" w:hAnsiTheme="minorHAnsi"/>
          <w:sz w:val="22"/>
        </w:rPr>
        <w:t>.</w:t>
      </w:r>
    </w:p>
    <w:p w:rsidR="00E85980" w:rsidRDefault="00E85980" w:rsidP="00E85980">
      <w:pPr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 </w:t>
      </w:r>
    </w:p>
    <w:p w:rsidR="00E85980" w:rsidRDefault="00E85980" w:rsidP="00E85980">
      <w:pPr>
        <w:rPr>
          <w:rFonts w:asciiTheme="minorHAnsi" w:hAnsiTheme="minorHAnsi"/>
          <w:sz w:val="22"/>
        </w:rPr>
      </w:pPr>
    </w:p>
    <w:p w:rsidR="00E85980" w:rsidRDefault="00E85980" w:rsidP="00E85980">
      <w:pPr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rPr>
          <w:rFonts w:asciiTheme="minorHAnsi" w:hAnsiTheme="minorHAnsi"/>
          <w:sz w:val="22"/>
        </w:rPr>
      </w:pPr>
    </w:p>
    <w:p w:rsidR="00E85980" w:rsidRPr="005F70E7" w:rsidRDefault="00E85980" w:rsidP="00E85980">
      <w:pPr>
        <w:tabs>
          <w:tab w:val="center" w:pos="4249"/>
          <w:tab w:val="center" w:pos="4957"/>
          <w:tab w:val="center" w:pos="7250"/>
        </w:tabs>
        <w:spacing w:after="4"/>
        <w:ind w:left="-15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V ............................., dňa ............ 2021 </w:t>
      </w:r>
      <w:r w:rsidRPr="005F70E7">
        <w:rPr>
          <w:rFonts w:asciiTheme="minorHAnsi" w:hAnsiTheme="minorHAnsi"/>
          <w:sz w:val="22"/>
        </w:rPr>
        <w:tab/>
        <w:t xml:space="preserve"> </w:t>
      </w:r>
      <w:r w:rsidRPr="005F70E7">
        <w:rPr>
          <w:rFonts w:asciiTheme="minorHAnsi" w:hAnsiTheme="minorHAnsi"/>
          <w:sz w:val="22"/>
        </w:rPr>
        <w:tab/>
        <w:t xml:space="preserve">   </w:t>
      </w:r>
      <w:r w:rsidRPr="005F70E7">
        <w:rPr>
          <w:rFonts w:asciiTheme="minorHAnsi" w:hAnsiTheme="minorHAnsi"/>
          <w:sz w:val="22"/>
        </w:rPr>
        <w:tab/>
        <w:t xml:space="preserve">V </w:t>
      </w:r>
      <w:r>
        <w:rPr>
          <w:rFonts w:asciiTheme="minorHAnsi" w:hAnsiTheme="minorHAnsi"/>
          <w:sz w:val="22"/>
        </w:rPr>
        <w:t>Bratislave</w:t>
      </w:r>
      <w:r w:rsidRPr="005F70E7">
        <w:rPr>
          <w:rFonts w:asciiTheme="minorHAnsi" w:hAnsiTheme="minorHAnsi"/>
          <w:sz w:val="22"/>
        </w:rPr>
        <w:t>, dňa .................. 2021</w:t>
      </w:r>
    </w:p>
    <w:p w:rsidR="00E85980" w:rsidRPr="005F70E7" w:rsidRDefault="00E85980" w:rsidP="00E85980">
      <w:pPr>
        <w:ind w:left="567"/>
        <w:rPr>
          <w:rFonts w:asciiTheme="minorHAnsi" w:hAnsiTheme="minorHAnsi"/>
          <w:sz w:val="22"/>
        </w:rPr>
      </w:pPr>
      <w:r w:rsidRPr="005F70E7">
        <w:rPr>
          <w:rFonts w:asciiTheme="minorHAnsi" w:hAnsiTheme="minorHAnsi"/>
          <w:sz w:val="22"/>
        </w:rPr>
        <w:t xml:space="preserve"> </w:t>
      </w: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Default="00E85980" w:rsidP="00E85980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b/>
          <w:sz w:val="22"/>
        </w:rPr>
      </w:pPr>
    </w:p>
    <w:p w:rsidR="00E85980" w:rsidRDefault="00E85980" w:rsidP="00E85980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b/>
          <w:sz w:val="22"/>
        </w:rPr>
      </w:pPr>
    </w:p>
    <w:p w:rsidR="00E85980" w:rsidRDefault="00E85980" w:rsidP="00E85980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b/>
          <w:sz w:val="22"/>
        </w:rPr>
      </w:pPr>
    </w:p>
    <w:p w:rsidR="00E85980" w:rsidRPr="005F70E7" w:rsidRDefault="00E85980" w:rsidP="00E85980">
      <w:pPr>
        <w:tabs>
          <w:tab w:val="center" w:pos="2833"/>
          <w:tab w:val="center" w:pos="3541"/>
          <w:tab w:val="center" w:pos="4249"/>
          <w:tab w:val="center" w:pos="4957"/>
          <w:tab w:val="center" w:pos="6510"/>
        </w:tabs>
        <w:spacing w:after="11"/>
        <w:ind w:left="-15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Za P</w:t>
      </w:r>
      <w:r w:rsidRPr="005F70E7">
        <w:rPr>
          <w:rFonts w:asciiTheme="minorHAnsi" w:hAnsiTheme="minorHAnsi"/>
          <w:b/>
          <w:sz w:val="22"/>
        </w:rPr>
        <w:t xml:space="preserve">redávajúceho: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 w:rsidRPr="005F70E7">
        <w:rPr>
          <w:rFonts w:asciiTheme="minorHAnsi" w:hAnsiTheme="minorHAnsi"/>
          <w:b/>
          <w:sz w:val="22"/>
        </w:rPr>
        <w:tab/>
        <w:t xml:space="preserve"> </w:t>
      </w:r>
      <w:r>
        <w:rPr>
          <w:rFonts w:asciiTheme="minorHAnsi" w:hAnsiTheme="minorHAnsi"/>
          <w:b/>
          <w:sz w:val="22"/>
        </w:rPr>
        <w:t>Za K</w:t>
      </w:r>
      <w:r w:rsidRPr="005F70E7">
        <w:rPr>
          <w:rFonts w:asciiTheme="minorHAnsi" w:hAnsiTheme="minorHAnsi"/>
          <w:b/>
          <w:sz w:val="22"/>
        </w:rPr>
        <w:t xml:space="preserve">upujúceho: </w:t>
      </w:r>
    </w:p>
    <w:p w:rsidR="00E85980" w:rsidRDefault="00E85980" w:rsidP="00E85980">
      <w:pPr>
        <w:spacing w:line="259" w:lineRule="auto"/>
        <w:rPr>
          <w:rFonts w:asciiTheme="minorHAnsi" w:hAnsiTheme="minorHAnsi"/>
          <w:b/>
          <w:sz w:val="22"/>
        </w:rPr>
      </w:pPr>
      <w:r w:rsidRPr="005F70E7">
        <w:rPr>
          <w:rFonts w:asciiTheme="minorHAnsi" w:hAnsiTheme="minorHAnsi"/>
          <w:b/>
          <w:sz w:val="22"/>
        </w:rPr>
        <w:t xml:space="preserve"> </w:t>
      </w:r>
    </w:p>
    <w:p w:rsidR="00E85980" w:rsidRDefault="00E85980" w:rsidP="00E85980">
      <w:pPr>
        <w:spacing w:line="259" w:lineRule="auto"/>
        <w:rPr>
          <w:rFonts w:asciiTheme="minorHAnsi" w:hAnsiTheme="minorHAnsi"/>
          <w:b/>
          <w:sz w:val="22"/>
        </w:rPr>
      </w:pPr>
    </w:p>
    <w:p w:rsidR="00E85980" w:rsidRDefault="00E85980" w:rsidP="00E85980">
      <w:pPr>
        <w:spacing w:line="259" w:lineRule="auto"/>
        <w:rPr>
          <w:rFonts w:asciiTheme="minorHAnsi" w:hAnsiTheme="minorHAnsi"/>
          <w:b/>
          <w:sz w:val="22"/>
        </w:rPr>
      </w:pPr>
    </w:p>
    <w:p w:rsidR="00E85980" w:rsidRPr="005F70E7" w:rsidRDefault="00E85980" w:rsidP="00E85980">
      <w:pPr>
        <w:spacing w:line="259" w:lineRule="auto"/>
        <w:rPr>
          <w:rFonts w:asciiTheme="minorHAnsi" w:hAnsiTheme="minorHAnsi"/>
          <w:sz w:val="22"/>
        </w:rPr>
      </w:pPr>
    </w:p>
    <w:p w:rsidR="00E85980" w:rsidRPr="001F209E" w:rsidRDefault="00E85980" w:rsidP="00E85980">
      <w:pPr>
        <w:tabs>
          <w:tab w:val="center" w:pos="2833"/>
          <w:tab w:val="center" w:pos="3541"/>
          <w:tab w:val="center" w:pos="4249"/>
          <w:tab w:val="center" w:pos="4957"/>
          <w:tab w:val="center" w:pos="6915"/>
        </w:tabs>
        <w:spacing w:after="2" w:line="259" w:lineRule="auto"/>
        <w:ind w:left="-8"/>
        <w:rPr>
          <w:rFonts w:asciiTheme="minorHAnsi" w:hAnsiTheme="minorHAnsi"/>
          <w:sz w:val="22"/>
        </w:rPr>
      </w:pPr>
      <w:r w:rsidRPr="001F209E">
        <w:rPr>
          <w:rFonts w:asciiTheme="minorHAnsi" w:hAnsiTheme="minorHAnsi"/>
          <w:sz w:val="22"/>
        </w:rPr>
        <w:t xml:space="preserve">...............................................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............................................. </w:t>
      </w:r>
    </w:p>
    <w:p w:rsidR="00E85980" w:rsidRPr="001F209E" w:rsidRDefault="00E85980" w:rsidP="00E8598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04"/>
        </w:tabs>
        <w:spacing w:after="2" w:line="259" w:lineRule="auto"/>
        <w:ind w:left="-8"/>
        <w:rPr>
          <w:rFonts w:asciiTheme="minorHAnsi" w:hAnsiTheme="minorHAnsi"/>
          <w:sz w:val="22"/>
        </w:rPr>
      </w:pPr>
      <w:r w:rsidRPr="001F209E">
        <w:rPr>
          <w:rFonts w:asciiTheme="minorHAnsi" w:hAnsiTheme="minorHAnsi"/>
          <w:sz w:val="22"/>
        </w:rPr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 </w:t>
      </w:r>
      <w:r w:rsidRPr="001F209E">
        <w:rPr>
          <w:rFonts w:asciiTheme="minorHAnsi" w:hAnsiTheme="minorHAnsi"/>
          <w:sz w:val="22"/>
        </w:rPr>
        <w:tab/>
        <w:t xml:space="preserve">Ing. Tomáš Kubasák </w:t>
      </w:r>
    </w:p>
    <w:p w:rsidR="00E85980" w:rsidRPr="002629E7" w:rsidRDefault="00E85980" w:rsidP="00E85980">
      <w:pPr>
        <w:spacing w:line="259" w:lineRule="auto"/>
        <w:jc w:val="right"/>
        <w:rPr>
          <w:rFonts w:asciiTheme="minorHAnsi" w:hAnsiTheme="minorHAnsi"/>
          <w:b/>
          <w:sz w:val="22"/>
        </w:rPr>
      </w:pPr>
      <w:r w:rsidRPr="002629E7">
        <w:rPr>
          <w:rFonts w:asciiTheme="minorHAnsi" w:hAnsiTheme="minorHAnsi"/>
          <w:b/>
          <w:sz w:val="22"/>
        </w:rPr>
        <w:lastRenderedPageBreak/>
        <w:t>Príloha č. 1</w:t>
      </w:r>
    </w:p>
    <w:p w:rsidR="00E85980" w:rsidRPr="002629E7" w:rsidRDefault="00E85980" w:rsidP="00E85980">
      <w:pPr>
        <w:spacing w:line="259" w:lineRule="auto"/>
        <w:jc w:val="center"/>
        <w:rPr>
          <w:rFonts w:asciiTheme="minorHAnsi" w:hAnsiTheme="minorHAnsi"/>
          <w:b/>
          <w:sz w:val="22"/>
        </w:rPr>
      </w:pPr>
      <w:r w:rsidRPr="002629E7">
        <w:rPr>
          <w:rFonts w:asciiTheme="minorHAnsi" w:hAnsiTheme="minorHAnsi"/>
          <w:b/>
          <w:sz w:val="22"/>
        </w:rPr>
        <w:t>Presná technická špecifikácia Tovaru</w:t>
      </w:r>
    </w:p>
    <w:p w:rsidR="00E85980" w:rsidRDefault="00E85980" w:rsidP="00E85980">
      <w:pPr>
        <w:spacing w:line="259" w:lineRule="auto"/>
        <w:rPr>
          <w:rFonts w:asciiTheme="minorHAnsi" w:hAnsiTheme="minorHAnsi"/>
          <w:b/>
          <w:sz w:val="22"/>
          <w:u w:val="single"/>
        </w:rPr>
      </w:pPr>
    </w:p>
    <w:p w:rsidR="00E85980" w:rsidRDefault="00E85980" w:rsidP="00E85980">
      <w:pPr>
        <w:rPr>
          <w:rFonts w:cs="Arial"/>
          <w:sz w:val="20"/>
          <w:szCs w:val="20"/>
        </w:rPr>
      </w:pP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b/>
          <w:bCs/>
          <w:sz w:val="20"/>
          <w:szCs w:val="20"/>
        </w:rPr>
        <w:t>Predmet zákazky:</w:t>
      </w:r>
      <w:r w:rsidRPr="00795355">
        <w:rPr>
          <w:rFonts w:cs="Arial"/>
          <w:bCs/>
          <w:sz w:val="20"/>
          <w:szCs w:val="20"/>
        </w:rPr>
        <w:t xml:space="preserve"> </w:t>
      </w:r>
      <w:r w:rsidRPr="00795355">
        <w:rPr>
          <w:rFonts w:cs="Arial"/>
          <w:sz w:val="20"/>
          <w:szCs w:val="20"/>
        </w:rPr>
        <w:t>Meteorologické stanice (príslušenstvo k laserovému trackeru)</w:t>
      </w:r>
    </w:p>
    <w:p w:rsidR="00E85980" w:rsidRPr="00795355" w:rsidRDefault="00E85980" w:rsidP="00E85980">
      <w:pPr>
        <w:pStyle w:val="Default"/>
        <w:rPr>
          <w:b/>
          <w:bCs/>
          <w:color w:val="FF0000"/>
          <w:sz w:val="20"/>
          <w:szCs w:val="20"/>
        </w:rPr>
      </w:pPr>
    </w:p>
    <w:p w:rsidR="00E85980" w:rsidRPr="00795355" w:rsidRDefault="00E85980" w:rsidP="00E85980">
      <w:pPr>
        <w:pStyle w:val="Default"/>
        <w:rPr>
          <w:bCs/>
          <w:color w:val="auto"/>
          <w:sz w:val="20"/>
          <w:szCs w:val="20"/>
        </w:rPr>
      </w:pPr>
      <w:r w:rsidRPr="00795355">
        <w:rPr>
          <w:b/>
          <w:bCs/>
          <w:color w:val="auto"/>
          <w:sz w:val="20"/>
          <w:szCs w:val="20"/>
        </w:rPr>
        <w:t>Druh:</w:t>
      </w:r>
      <w:r w:rsidRPr="00795355">
        <w:rPr>
          <w:bCs/>
          <w:color w:val="auto"/>
          <w:sz w:val="20"/>
          <w:szCs w:val="20"/>
        </w:rPr>
        <w:t xml:space="preserve"> Tovar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b/>
          <w:sz w:val="20"/>
          <w:szCs w:val="20"/>
        </w:rPr>
        <w:t>Počet:</w:t>
      </w:r>
      <w:r w:rsidRPr="00795355">
        <w:rPr>
          <w:rFonts w:cs="Arial"/>
          <w:sz w:val="20"/>
          <w:szCs w:val="20"/>
        </w:rPr>
        <w:t xml:space="preserve"> 7 ks ručný záznamník, 7 ks kombinovaná sonda na meranie teploty a relatívnej vlhkosti alebo 7 ks samostatná sonda na meranie teploty a 7 ks samostatná sonda na meranie relatívnej vlhkosti a 2 ks digitálny tlakomer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sz w:val="20"/>
          <w:szCs w:val="20"/>
        </w:rPr>
        <w:t>Meteorologické stanice majú slúžiť na meranie teploty prostredia, relatívnej vlhkosti a atmosférického tlaku ako pomocných veličín na výpočet korekcií ku vysoko presným geodetickým meraniam. Meteorologické stanice majú merať teplotu, relatívnu vlhkosť prostredia a atmosférický tlak s vysokou presnosťou, majú byť prenositeľné, s vlastným zdrojom napätia a so záznamom nameraných údajov s časovou značkou.</w:t>
      </w:r>
    </w:p>
    <w:p w:rsidR="00E85980" w:rsidRPr="00795355" w:rsidRDefault="00E85980" w:rsidP="00E85980">
      <w:pPr>
        <w:jc w:val="both"/>
        <w:rPr>
          <w:rFonts w:cs="Arial"/>
          <w:color w:val="FF0000"/>
          <w:sz w:val="20"/>
          <w:szCs w:val="20"/>
        </w:rPr>
      </w:pPr>
    </w:p>
    <w:p w:rsidR="00E85980" w:rsidRPr="00795355" w:rsidRDefault="00E85980" w:rsidP="00E85980">
      <w:pPr>
        <w:jc w:val="both"/>
        <w:rPr>
          <w:rFonts w:cs="Arial"/>
          <w:b/>
          <w:sz w:val="20"/>
          <w:szCs w:val="20"/>
        </w:rPr>
      </w:pPr>
      <w:r w:rsidRPr="00795355">
        <w:rPr>
          <w:rFonts w:cs="Arial"/>
          <w:b/>
          <w:sz w:val="20"/>
          <w:szCs w:val="20"/>
        </w:rPr>
        <w:t>Popis vlastností a minimálne parametre jednotlivých komponentov zákazky: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  <w:shd w:val="clear" w:color="auto" w:fill="F9F9F9"/>
        </w:rPr>
      </w:pPr>
      <w:r w:rsidRPr="00795355">
        <w:rPr>
          <w:rFonts w:cs="Arial"/>
          <w:sz w:val="20"/>
          <w:szCs w:val="20"/>
          <w:shd w:val="clear" w:color="auto" w:fill="F9F9F9"/>
        </w:rPr>
        <w:t>Dodávateľ je povinný dodať všetky fyzické predmety zákazky nové a originálne, nie repasované alebo inak upravené.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  <w:shd w:val="clear" w:color="auto" w:fill="F9F9F9"/>
        </w:rPr>
      </w:pPr>
      <w:r w:rsidRPr="00795355">
        <w:rPr>
          <w:rFonts w:cs="Arial"/>
          <w:sz w:val="20"/>
          <w:szCs w:val="20"/>
          <w:shd w:val="clear" w:color="auto" w:fill="F9F9F9"/>
        </w:rPr>
        <w:t>Verejný obstarávateľ považuje za ekvivalent tovary, ktoré spĺňajú kvalitatívne, úžitkové a funkčné charakteristiky, ktoré sú nevyhnutné na zabezpečenie účelu, na ktorý sú požadované tovary určené a to na rovnakej, resp. vyššej úrovni, ako je uvedené v „Opise predmetu zákazky“.</w:t>
      </w:r>
    </w:p>
    <w:p w:rsidR="00E85980" w:rsidRPr="00795355" w:rsidRDefault="00E85980" w:rsidP="00E85980">
      <w:pPr>
        <w:pStyle w:val="Textkomentra"/>
        <w:rPr>
          <w:rFonts w:cs="Arial"/>
        </w:rPr>
      </w:pPr>
      <w:r w:rsidRPr="00795355">
        <w:rPr>
          <w:rFonts w:cs="Arial"/>
        </w:rPr>
        <w:t>Parametre presnosti nemôžu byť dosiahnuté napr. justážou a následnou kalibráciou; musia byť technickým parametrom zariadenia.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  <w:shd w:val="clear" w:color="auto" w:fill="F9F9F9"/>
        </w:rPr>
      </w:pPr>
    </w:p>
    <w:p w:rsidR="00E85980" w:rsidRPr="00795355" w:rsidRDefault="00E85980" w:rsidP="00E85980">
      <w:pPr>
        <w:jc w:val="both"/>
        <w:rPr>
          <w:rFonts w:cs="Arial"/>
          <w:b/>
          <w:sz w:val="20"/>
          <w:szCs w:val="20"/>
          <w:u w:val="single"/>
        </w:rPr>
      </w:pPr>
    </w:p>
    <w:p w:rsidR="00E85980" w:rsidRPr="00795355" w:rsidRDefault="00E85980" w:rsidP="00E85980">
      <w:pPr>
        <w:spacing w:after="120"/>
        <w:jc w:val="both"/>
        <w:rPr>
          <w:rFonts w:cs="Arial"/>
          <w:b/>
          <w:sz w:val="20"/>
          <w:szCs w:val="20"/>
          <w:u w:val="single"/>
        </w:rPr>
      </w:pPr>
      <w:r w:rsidRPr="00795355">
        <w:rPr>
          <w:rFonts w:cs="Arial"/>
          <w:b/>
          <w:sz w:val="20"/>
          <w:szCs w:val="20"/>
          <w:u w:val="single"/>
        </w:rPr>
        <w:t>Ručný záznamník, meteorologické sondy a digitálny tlakomer:</w:t>
      </w: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sz w:val="20"/>
          <w:szCs w:val="20"/>
        </w:rPr>
        <w:t>Ručný záznamník (logger) – 7 ks: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Možnosť pripojenia kombinovanej sondy alebo samostatných sond na meranie teploty a relatívnej vlhkosti a súčasne možnosť pripojenia digitálneho tlakomeru  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Počet vstupov pre sondy resp. zariadenia na pripojenie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- ak kombinovaná teplotno-vlhkostná sonda a tlakomer</w:t>
            </w:r>
          </w:p>
          <w:p w:rsidR="00E85980" w:rsidRPr="00795355" w:rsidRDefault="00E85980" w:rsidP="009D31C8">
            <w:pPr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- ak samostatná sonda na meranie teploty, samostatná sonda na meranie vlhkosti a tlakomer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2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3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Digitálna komunikácia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Displej so zobrazením číselných údajov meraných hodnôt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Záznam údajov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áno, s časovou značkou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cs="Arial"/>
                <w:sz w:val="20"/>
                <w:szCs w:val="20"/>
              </w:rPr>
              <w:t>Kapacita pamäte záznamníka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min. </w:t>
            </w:r>
            <w:r w:rsidRPr="00795355">
              <w:rPr>
                <w:rFonts w:eastAsia="CIDFont+F2" w:cs="Arial"/>
                <w:sz w:val="20"/>
                <w:szCs w:val="20"/>
              </w:rPr>
              <w:t>70000 údajov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Interval ukladania údajov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od 1 s do 1 hod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Rozlíšenie ukladaných údajov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relatívna vlhkosť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tlak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teplota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0,01 % RH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0,01 hPa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0,01°C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Prevádzková teplota v rozsahu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od - 10°C do + 40°C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Prevádzková relatívna vlhkosť v rozsahu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0 až 90%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Zdroj napätia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795355">
              <w:rPr>
                <w:rFonts w:cs="Arial"/>
                <w:sz w:val="20"/>
                <w:szCs w:val="20"/>
              </w:rPr>
              <w:t>nabíjateľné batérie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Výdrž batérií pri 20°C a pri pripojení teplotno-vlhkostnej sondy/teplotnej sondy a vlhkostnej sondy a súčasne aj digitálneho tlakomera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14 hod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Odolnosť voči prachu a vode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IP40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Hmotnosť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max. 300 g 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lastRenderedPageBreak/>
              <w:t>Prenosný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Možnosť stiahnutia údajov zo záznamníka do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Kábel na pripojenie záznamníka k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Softvér na stiahnutie údajov zo záznamníka do PC alebo „drag and drop“ stiahnutie údajov do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Elektromagnetická kompatibilita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EN61326-1, priemyselné prostredie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Sieťový adaptér a nabíjačka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Redukcia nabíjačky do autozapaľovača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áno, 1ks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Powerbanka k záznamníku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áno, 2 ks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Kapacita powerbanky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10000 mAh</w:t>
            </w:r>
          </w:p>
        </w:tc>
      </w:tr>
    </w:tbl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sz w:val="20"/>
          <w:szCs w:val="20"/>
        </w:rPr>
        <w:t>Kombinovaná sonda/samostatné sondy na meranie teploty a relatívnej vlhkosti - 7 ks: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 xml:space="preserve">Sonda pripojiteľná 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do záznamníka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priamo do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Režim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digitálny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analógový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Rozsah merania teploty prostredia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min. </w:t>
            </w:r>
            <w:r w:rsidRPr="00795355">
              <w:rPr>
                <w:rFonts w:eastAsia="CIDFont+F2" w:cs="Arial"/>
                <w:sz w:val="20"/>
                <w:szCs w:val="20"/>
              </w:rPr>
              <w:t>-40 ... +80°C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Celková presnosť merania teploty prostredia v rozsahu +15...+25°C (záznamník+sonda) pri digitálnom výstupe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±0,1°C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  <w:shd w:val="clear" w:color="auto" w:fill="F9F9F9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Celková presnosť merania teploty prostredia v rozsahu 0...+15°C a +25...+40°C (záznamník+sonda) pri digitálnom výstupe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±0,15°C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Celková presnosť merania teploty prostredia v rozsahu 0...+40°C pri analógovom výstupe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±0,2°C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Rozsah merania relatívnej vlhkosti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eastAsia="CIDFont+F2" w:cs="Arial"/>
                <w:sz w:val="20"/>
                <w:szCs w:val="20"/>
              </w:rPr>
              <w:t>0...100%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Celková presnosť merania relatívnej vlhkosti (záznamník + sonda) pri relatívnej vlhkosti v rozsahu 0...90% pri teplote 0...+40°C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max. 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±1,5% 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  <w:shd w:val="clear" w:color="auto" w:fill="F9F9F9"/>
              </w:rPr>
              <w:t>Celková presnosť merania relatívnej vlhkosti (záznamník + sonda) pri relatívnej vlhkosti v rozsahu 90...100% pri teplote 0...+40°C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max. 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±2,5% 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Elektromagnetická kompatibilita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EN 61326-1, priemyselné prostredie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Štartovací čas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s analógovým výstupom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s digitálnym výstupom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 4 s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 1 s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Výstupy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analógový výstup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digitálny výstup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displej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RS-485 2-wire half duplex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Typ teplotnej sondy (referenčne)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Pt100 prípadne Pt1000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Odolnosť voči prachu a vode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IP65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Konektor kábla sond/sondy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kompatibilný so záznamníkom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Spojovací kábel sondy so záznamníkom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Komunikácia ručného záznamníka a sondy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digitálna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Možnosť záznamu meraných údajov v softvéri PC pri pripojení sondy k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Spojovací kábel sondy k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áno, dĺžka kábla 2 m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  <w:highlight w:val="red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Radiačný kryt 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Prenosný statív k radiačnému krytu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</w:tbl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</w:p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  <w:r w:rsidRPr="00795355">
        <w:rPr>
          <w:rFonts w:cs="Arial"/>
          <w:sz w:val="20"/>
          <w:szCs w:val="20"/>
        </w:rPr>
        <w:t>Digitálny tlakomer – 2 ks: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Možnosť pripojenia 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k ručnému záznamníku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k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Prenosný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Prevádzková teplota v rozsahu 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od - 10°C do + 40°C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Merania atmosférického tlaku v rozsahu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min. 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500-1100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lastRenderedPageBreak/>
              <w:t>Linearita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±0,05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Hysteréza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 ±0,03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Opakovateľnosť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 ±0,03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Neistota kalibrácie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 ±0,07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Presnosť pri teplote 20°C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±0,10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Teplotná závislosť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±0,1 hPa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 xml:space="preserve">Celková presnosť merania atmosférického tlaku (záznamník + tlakomer) v rozsahu (-40.. +60°C) 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eastAsia="CIDFont+F2"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</w:t>
            </w:r>
            <w:r w:rsidRPr="00795355">
              <w:rPr>
                <w:rFonts w:eastAsia="CIDFont+F2" w:cs="Arial"/>
                <w:sz w:val="20"/>
                <w:szCs w:val="20"/>
              </w:rPr>
              <w:t xml:space="preserve"> </w:t>
            </w:r>
            <w:r w:rsidRPr="00795355">
              <w:rPr>
                <w:rFonts w:cs="Arial"/>
                <w:sz w:val="20"/>
                <w:szCs w:val="20"/>
              </w:rPr>
              <w:t>±</w:t>
            </w:r>
            <w:r w:rsidRPr="00795355">
              <w:rPr>
                <w:rFonts w:eastAsia="CIDFont+F2" w:cs="Arial"/>
                <w:sz w:val="20"/>
                <w:szCs w:val="20"/>
              </w:rPr>
              <w:t>0,15 hPa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Dlhodobá stabilita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±0,1 hPa/rok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Čas odozvy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max. 2 s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Vstupy a výstupy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údajové rozhranie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 xml:space="preserve">sériové </w:t>
            </w:r>
            <w:proofErr w:type="spellStart"/>
            <w:r w:rsidRPr="00795355">
              <w:rPr>
                <w:rFonts w:ascii="Arial" w:hAnsi="Arial" w:cs="Arial"/>
                <w:sz w:val="20"/>
                <w:szCs w:val="20"/>
              </w:rPr>
              <w:t>vstupno</w:t>
            </w:r>
            <w:proofErr w:type="spellEnd"/>
            <w:r w:rsidRPr="00795355">
              <w:rPr>
                <w:rFonts w:ascii="Arial" w:hAnsi="Arial" w:cs="Arial"/>
                <w:sz w:val="20"/>
                <w:szCs w:val="20"/>
              </w:rPr>
              <w:t>/výstupné konektory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RS-232C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kompatibilné so záznamníkom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Odolnosť voči prachu a vode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IP65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Tlakový vstup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M5 (10-32) internal thread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Prepravný kufrík</w:t>
            </w:r>
          </w:p>
          <w:p w:rsidR="00E85980" w:rsidRPr="00795355" w:rsidRDefault="00E85980" w:rsidP="00E85980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355">
              <w:rPr>
                <w:rFonts w:ascii="Arial" w:hAnsi="Arial" w:cs="Arial"/>
                <w:sz w:val="20"/>
                <w:szCs w:val="20"/>
              </w:rPr>
              <w:t>odolnosť voči prachu a vode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min. IP65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Spojovací kábel medzi digitálnym tlakomerom a ručným záznamníkom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  <w:tr w:rsidR="00E85980" w:rsidRPr="00795355" w:rsidTr="009D31C8"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Spojovací kábel medzi digitálnym tlakomerom a PC</w:t>
            </w:r>
          </w:p>
        </w:tc>
        <w:tc>
          <w:tcPr>
            <w:tcW w:w="4606" w:type="dxa"/>
          </w:tcPr>
          <w:p w:rsidR="00E85980" w:rsidRPr="00795355" w:rsidRDefault="00E85980" w:rsidP="009D31C8">
            <w:pPr>
              <w:jc w:val="both"/>
              <w:rPr>
                <w:rFonts w:cs="Arial"/>
                <w:sz w:val="20"/>
                <w:szCs w:val="20"/>
              </w:rPr>
            </w:pPr>
            <w:r w:rsidRPr="00795355">
              <w:rPr>
                <w:rFonts w:cs="Arial"/>
                <w:sz w:val="20"/>
                <w:szCs w:val="20"/>
              </w:rPr>
              <w:t>áno</w:t>
            </w:r>
          </w:p>
        </w:tc>
      </w:tr>
    </w:tbl>
    <w:p w:rsidR="00E85980" w:rsidRPr="00795355" w:rsidRDefault="00E85980" w:rsidP="00E85980">
      <w:pPr>
        <w:jc w:val="both"/>
        <w:rPr>
          <w:rFonts w:cs="Arial"/>
          <w:sz w:val="20"/>
          <w:szCs w:val="20"/>
        </w:rPr>
      </w:pPr>
    </w:p>
    <w:p w:rsidR="00A577E8" w:rsidRDefault="00E85980"/>
    <w:sectPr w:rsidR="00A5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71B"/>
    <w:multiLevelType w:val="hybridMultilevel"/>
    <w:tmpl w:val="25C4258C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7054"/>
    <w:multiLevelType w:val="hybridMultilevel"/>
    <w:tmpl w:val="B52CC9EA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37F9"/>
    <w:multiLevelType w:val="hybridMultilevel"/>
    <w:tmpl w:val="23385F44"/>
    <w:lvl w:ilvl="0" w:tplc="C1988BE4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B263B"/>
    <w:multiLevelType w:val="hybridMultilevel"/>
    <w:tmpl w:val="CE60B43C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20D32"/>
    <w:multiLevelType w:val="multilevel"/>
    <w:tmpl w:val="6714FBB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7F06A1"/>
    <w:multiLevelType w:val="multilevel"/>
    <w:tmpl w:val="7D10508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454C17"/>
    <w:multiLevelType w:val="multilevel"/>
    <w:tmpl w:val="68060FF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7" w15:restartNumberingAfterBreak="0">
    <w:nsid w:val="78800B03"/>
    <w:multiLevelType w:val="hybridMultilevel"/>
    <w:tmpl w:val="2FC86B2C"/>
    <w:lvl w:ilvl="0" w:tplc="65D65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0"/>
    <w:rsid w:val="00563350"/>
    <w:rsid w:val="00C70197"/>
    <w:rsid w:val="00E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521D"/>
  <w15:chartTrackingRefBased/>
  <w15:docId w15:val="{F72FB854-6CDE-4E09-9F19-DF92EDBB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980"/>
    <w:pPr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E85980"/>
    <w:pPr>
      <w:ind w:left="720"/>
      <w:contextualSpacing/>
    </w:pPr>
    <w:rPr>
      <w:rFonts w:ascii="Times New Roman" w:hAnsi="Times New Roman"/>
      <w:noProof w:val="0"/>
      <w:lang w:eastAsia="en-GB"/>
    </w:rPr>
  </w:style>
  <w:style w:type="character" w:customStyle="1" w:styleId="OdsekzoznamuChar">
    <w:name w:val="Odsek zoznamu Char"/>
    <w:aliases w:val="body Char1,Odsek zoznamu2 Char1,Bullet Number Char1,lp1 Char1,lp11 Char1,List Paragraph11 Char1,Bullet 1 Char1,Use Case List Paragraph Char1,Colorful List - Accent 11 Char1"/>
    <w:link w:val="Odsekzoznamu"/>
    <w:uiPriority w:val="34"/>
    <w:locked/>
    <w:rsid w:val="00E8598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Mriekatabuky">
    <w:name w:val="Table Grid"/>
    <w:aliases w:val="Deloitte table 3"/>
    <w:basedOn w:val="Normlnatabuka"/>
    <w:uiPriority w:val="59"/>
    <w:rsid w:val="00E8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E859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85980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customStyle="1" w:styleId="Default">
    <w:name w:val="Default"/>
    <w:rsid w:val="00E859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2043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Kardoš Martin</dc:creator>
  <cp:keywords/>
  <dc:description/>
  <cp:lastModifiedBy>Kardoš Martin</cp:lastModifiedBy>
  <cp:revision>1</cp:revision>
  <dcterms:created xsi:type="dcterms:W3CDTF">2021-07-02T09:34:00Z</dcterms:created>
  <dcterms:modified xsi:type="dcterms:W3CDTF">2021-07-02T09:35:00Z</dcterms:modified>
</cp:coreProperties>
</file>