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jc w:val="center"/>
        <w:rPr>
          <w:rFonts w:ascii="Arial Narrow" w:hAnsi="Arial Narrow"/>
          <w:b/>
          <w:sz w:val="22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Pr="00416ADE">
        <w:rPr>
          <w:rFonts w:ascii="Arial Narrow" w:hAnsi="Arial Narrow"/>
          <w:b/>
          <w:sz w:val="22"/>
        </w:rPr>
        <w:lastRenderedPageBreak/>
        <w:t>Rámcová dohoda</w:t>
      </w:r>
      <w:r>
        <w:rPr>
          <w:rFonts w:ascii="Arial Narrow" w:hAnsi="Arial Narrow"/>
          <w:b/>
          <w:sz w:val="22"/>
        </w:rPr>
        <w:t xml:space="preserve"> č. OVO2-201</w:t>
      </w:r>
      <w:r w:rsidR="00601EA0">
        <w:rPr>
          <w:rFonts w:ascii="Arial Narrow" w:hAnsi="Arial Narrow"/>
          <w:b/>
          <w:sz w:val="22"/>
        </w:rPr>
        <w:t>9</w:t>
      </w:r>
      <w:r>
        <w:rPr>
          <w:rFonts w:ascii="Arial Narrow" w:hAnsi="Arial Narrow"/>
          <w:b/>
          <w:sz w:val="22"/>
        </w:rPr>
        <w:t>/000</w:t>
      </w:r>
      <w:r w:rsidR="00601EA0">
        <w:rPr>
          <w:rFonts w:ascii="Arial Narrow" w:hAnsi="Arial Narrow"/>
          <w:b/>
          <w:sz w:val="22"/>
        </w:rPr>
        <w:t>036</w:t>
      </w:r>
      <w:r>
        <w:rPr>
          <w:rFonts w:ascii="Arial Narrow" w:hAnsi="Arial Narrow"/>
          <w:b/>
          <w:sz w:val="22"/>
        </w:rPr>
        <w:t>-00</w:t>
      </w:r>
    </w:p>
    <w:p w:rsidR="008B4750" w:rsidRDefault="008B4750" w:rsidP="008B475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Odborné skúšky, prehliadky a opravy prostriedkov protiplynovej služby zaradených v Hasičskom a záchrannom zbore Slovenskej republiky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Verejnom obstarávaní a o zmene a doplnení niektorých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>
        <w:rPr>
          <w:rFonts w:ascii="Arial Narrow" w:hAnsi="Arial Narrow" w:cs="Calibri"/>
          <w:bCs/>
          <w:sz w:val="22"/>
        </w:rPr>
        <w:t xml:space="preserve">v znení neskorších prepisov ( 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:rsidR="008B4750" w:rsidRPr="008876F3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 ďalej len „Rámcová dohoda“)</w:t>
      </w:r>
    </w:p>
    <w:p w:rsidR="008B4750" w:rsidRPr="00416ADE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8B4750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>
        <w:rPr>
          <w:rFonts w:ascii="Arial Narrow" w:hAnsi="Arial Narrow" w:cs="Calibri"/>
          <w:bCs/>
          <w:sz w:val="22"/>
          <w:szCs w:val="22"/>
        </w:rPr>
        <w:t xml:space="preserve">  Ing. Ondrej Varačka</w:t>
      </w:r>
    </w:p>
    <w:p w:rsidR="008B4750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                                        generálny tajomník služobného úradu Ministerstva vnútra SR </w:t>
      </w:r>
    </w:p>
    <w:p w:rsidR="008B4750" w:rsidRPr="00C11E62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                                        na  základe moci č.p.: KM-OPS4-201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  <w:r>
        <w:rPr>
          <w:rFonts w:ascii="Arial Narrow" w:hAnsi="Arial Narrow" w:cs="Calibri"/>
          <w:bCs/>
          <w:sz w:val="22"/>
          <w:szCs w:val="22"/>
        </w:rPr>
        <w:t>/</w:t>
      </w:r>
      <w:r w:rsidR="004A4B57">
        <w:rPr>
          <w:rFonts w:ascii="Arial Narrow" w:hAnsi="Arial Narrow" w:cs="Calibri"/>
          <w:bCs/>
          <w:sz w:val="22"/>
          <w:szCs w:val="22"/>
        </w:rPr>
        <w:t>001604-117</w:t>
      </w:r>
      <w:r>
        <w:rPr>
          <w:rFonts w:ascii="Arial Narrow" w:hAnsi="Arial Narrow" w:cs="Calibri"/>
          <w:bCs/>
          <w:sz w:val="22"/>
          <w:szCs w:val="22"/>
        </w:rPr>
        <w:t xml:space="preserve"> zo dňa </w:t>
      </w:r>
      <w:r w:rsidR="004A4B57">
        <w:rPr>
          <w:rFonts w:ascii="Arial Narrow" w:hAnsi="Arial Narrow" w:cs="Calibri"/>
          <w:bCs/>
          <w:sz w:val="22"/>
          <w:szCs w:val="22"/>
        </w:rPr>
        <w:t>3</w:t>
      </w:r>
      <w:r>
        <w:rPr>
          <w:rFonts w:ascii="Arial Narrow" w:hAnsi="Arial Narrow" w:cs="Calibri"/>
          <w:bCs/>
          <w:sz w:val="22"/>
          <w:szCs w:val="22"/>
        </w:rPr>
        <w:t>0.04.201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Štátna pokladnica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7000180023/8180</w:t>
      </w:r>
    </w:p>
    <w:p w:rsidR="008B4750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8B4750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lang w:eastAsia="sk-SK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„Objednávateľ)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Dodávateľ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Názov: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Sídlo: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Splnomocnený k podpisu: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DIČ: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 DPH: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Bankové spojenie: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Číslo účtu: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Tel: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Fax: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e-mail: 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CF0E28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cs="Calibri"/>
          <w:bCs/>
          <w:sz w:val="22"/>
        </w:rPr>
        <w:t>(ďalej len „Dodávateľ“)</w:t>
      </w: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Rámcovej dohody“)</w:t>
      </w:r>
    </w:p>
    <w:p w:rsidR="008B4750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5E263D" w:rsidRDefault="005E263D" w:rsidP="008B4750">
      <w:pPr>
        <w:rPr>
          <w:rFonts w:ascii="Arial Narrow" w:hAnsi="Arial Narrow"/>
          <w:sz w:val="22"/>
        </w:rPr>
      </w:pPr>
    </w:p>
    <w:p w:rsidR="008B4750" w:rsidRPr="00864F85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8B4750" w:rsidRDefault="008B4750" w:rsidP="00133335">
      <w:pPr>
        <w:numPr>
          <w:ilvl w:val="0"/>
          <w:numId w:val="44"/>
        </w:numPr>
        <w:spacing w:after="0" w:line="240" w:lineRule="auto"/>
        <w:ind w:left="709" w:hanging="425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 w:cs="Calibri"/>
          <w:bCs/>
          <w:sz w:val="22"/>
        </w:rPr>
        <w:t>Účastníci Rámcovej dohody</w:t>
      </w:r>
      <w:r w:rsidRPr="00864F85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č. </w:t>
      </w:r>
      <w:r w:rsidR="004A4B57">
        <w:rPr>
          <w:rFonts w:ascii="Arial Narrow" w:hAnsi="Arial Narrow"/>
          <w:bCs/>
          <w:iCs/>
          <w:color w:val="000000"/>
          <w:sz w:val="22"/>
        </w:rPr>
        <w:t>XXX</w:t>
      </w:r>
      <w:r w:rsidRPr="000C275A">
        <w:rPr>
          <w:rFonts w:ascii="Arial Narrow" w:hAnsi="Arial Narrow"/>
          <w:bCs/>
          <w:iCs/>
          <w:color w:val="000000"/>
          <w:sz w:val="22"/>
        </w:rPr>
        <w:t>/201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dňa 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pod značkou </w:t>
      </w:r>
      <w:r w:rsidR="004A4B57">
        <w:rPr>
          <w:rFonts w:ascii="Arial Narrow" w:hAnsi="Arial Narrow"/>
          <w:bCs/>
          <w:iCs/>
          <w:color w:val="000000"/>
          <w:sz w:val="22"/>
        </w:rPr>
        <w:t>XXXXX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-</w:t>
      </w:r>
      <w:r>
        <w:rPr>
          <w:rFonts w:ascii="Arial Narrow" w:hAnsi="Arial Narrow"/>
          <w:bCs/>
          <w:iCs/>
          <w:color w:val="000000"/>
          <w:sz w:val="22"/>
        </w:rPr>
        <w:t>MSS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(ďalej len „VO“).</w:t>
      </w:r>
    </w:p>
    <w:p w:rsidR="008B4750" w:rsidRPr="002F76AE" w:rsidRDefault="008B4750" w:rsidP="008B4750">
      <w:pPr>
        <w:ind w:left="709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B4750" w:rsidRPr="007E7F3A" w:rsidRDefault="008B4750" w:rsidP="00133335">
      <w:pPr>
        <w:pStyle w:val="Odsekzoznamu"/>
        <w:numPr>
          <w:ilvl w:val="0"/>
          <w:numId w:val="44"/>
        </w:numPr>
        <w:tabs>
          <w:tab w:val="left" w:pos="709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 w:cs="Calibri"/>
          <w:bCs/>
          <w:sz w:val="22"/>
        </w:rPr>
      </w:pPr>
      <w:r w:rsidRPr="007E7F3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</w:t>
      </w:r>
      <w:r>
        <w:rPr>
          <w:rFonts w:ascii="Arial Narrow" w:hAnsi="Arial Narrow"/>
          <w:bCs/>
          <w:iCs/>
          <w:color w:val="000000"/>
          <w:sz w:val="22"/>
        </w:rPr>
        <w:t>dodania služby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(tak ako je tento pojem zadefinovaný </w:t>
      </w:r>
      <w:r>
        <w:rPr>
          <w:rFonts w:ascii="Arial Narrow" w:hAnsi="Arial Narrow"/>
          <w:bCs/>
          <w:iCs/>
          <w:color w:val="000000"/>
          <w:sz w:val="22"/>
        </w:rPr>
        <w:t>v čl. I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v bode </w:t>
      </w:r>
      <w:r>
        <w:rPr>
          <w:rFonts w:ascii="Arial Narrow" w:hAnsi="Arial Narrow"/>
          <w:bCs/>
          <w:iCs/>
          <w:color w:val="000000"/>
          <w:sz w:val="22"/>
        </w:rPr>
        <w:t>1</w:t>
      </w:r>
      <w:r w:rsidRPr="007E7F3A">
        <w:rPr>
          <w:rFonts w:ascii="Arial Narrow" w:hAnsi="Arial Narrow"/>
          <w:bCs/>
          <w:iCs/>
          <w:color w:val="000000"/>
          <w:sz w:val="22"/>
        </w:rPr>
        <w:t>.1. a v Prílohe č. 1 Rámcovej dohody</w:t>
      </w:r>
      <w:r>
        <w:rPr>
          <w:rFonts w:ascii="Arial Narrow" w:hAnsi="Arial Narrow"/>
          <w:bCs/>
          <w:iCs/>
          <w:color w:val="000000"/>
          <w:sz w:val="22"/>
        </w:rPr>
        <w:t xml:space="preserve">) </w:t>
      </w:r>
      <w:r w:rsidRPr="007E7F3A">
        <w:rPr>
          <w:rFonts w:ascii="Arial Narrow" w:hAnsi="Arial Narrow"/>
          <w:bCs/>
          <w:iCs/>
          <w:color w:val="000000"/>
          <w:sz w:val="22"/>
        </w:rPr>
        <w:t>v súlade s touto Rámcovou dohodou</w:t>
      </w:r>
      <w:r>
        <w:rPr>
          <w:rFonts w:ascii="Arial Narrow" w:hAnsi="Arial Narrow"/>
          <w:bCs/>
          <w:iCs/>
          <w:color w:val="000000"/>
          <w:sz w:val="22"/>
        </w:rPr>
        <w:t>.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8B4750" w:rsidRPr="00D74ECF" w:rsidRDefault="004A4B57" w:rsidP="00133335">
      <w:pPr>
        <w:pStyle w:val="Odsekzoznamu"/>
        <w:numPr>
          <w:ilvl w:val="1"/>
          <w:numId w:val="57"/>
        </w:numPr>
        <w:tabs>
          <w:tab w:val="left" w:pos="567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P</w:t>
      </w:r>
      <w:r w:rsidRPr="00401E6D">
        <w:rPr>
          <w:rFonts w:ascii="Arial Narrow" w:hAnsi="Arial Narrow"/>
          <w:bCs/>
          <w:iCs/>
          <w:color w:val="000000"/>
          <w:sz w:val="22"/>
        </w:rPr>
        <w:t>redmet</w:t>
      </w:r>
      <w:r>
        <w:rPr>
          <w:rFonts w:ascii="Arial Narrow" w:hAnsi="Arial Narrow"/>
          <w:bCs/>
          <w:iCs/>
          <w:color w:val="000000"/>
          <w:sz w:val="22"/>
        </w:rPr>
        <w:t xml:space="preserve">om Rámcovej dohody je záväzok Dodávateľa vykonávať </w:t>
      </w:r>
      <w:r w:rsidR="008B4750">
        <w:rPr>
          <w:rFonts w:ascii="Arial Narrow" w:hAnsi="Arial Narrow"/>
          <w:bCs/>
          <w:iCs/>
          <w:color w:val="000000"/>
          <w:sz w:val="22"/>
        </w:rPr>
        <w:t>o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>dborné prehliadky, pravideln</w:t>
      </w:r>
      <w:r w:rsidR="008B4750">
        <w:rPr>
          <w:rFonts w:ascii="Arial Narrow" w:hAnsi="Arial Narrow"/>
          <w:bCs/>
          <w:iCs/>
          <w:color w:val="000000"/>
          <w:sz w:val="22"/>
        </w:rPr>
        <w:t>ú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 xml:space="preserve"> údržb</w:t>
      </w:r>
      <w:r w:rsidR="008B4750">
        <w:rPr>
          <w:rFonts w:ascii="Arial Narrow" w:hAnsi="Arial Narrow"/>
          <w:bCs/>
          <w:iCs/>
          <w:color w:val="000000"/>
          <w:sz w:val="22"/>
        </w:rPr>
        <w:t>u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>, skúšky, odstraňovanie porúch v rámci pozáručného servisu pre autonómne dýchacie prístroje, evakuačné dýchacie prístroje a evakuačné sady, ochranné protichemické obleky, oživovacie prístroje, detekčné prístroje a analyzátory dychu a ich kalibrácie (justáže), kontrolné a meracie zariadenie a ich modifikácie, plniace zariadenie a kompresory,  servis a revízie tlakových fliaš oceľových aj kompozitných a školenia užívateľov prostriedkov protiplynovej služby</w:t>
      </w:r>
      <w:r w:rsidR="008B4750" w:rsidRPr="00D74ECF">
        <w:rPr>
          <w:rFonts w:ascii="Arial Narrow" w:hAnsi="Arial Narrow"/>
          <w:bCs/>
          <w:iCs/>
          <w:color w:val="000000"/>
          <w:sz w:val="22"/>
        </w:rPr>
        <w:t>. podľa Prílohy č.1 tejto Rámco</w:t>
      </w:r>
      <w:r w:rsidR="008B4750">
        <w:rPr>
          <w:rFonts w:ascii="Arial Narrow" w:hAnsi="Arial Narrow"/>
          <w:bCs/>
          <w:iCs/>
          <w:color w:val="000000"/>
          <w:sz w:val="22"/>
        </w:rPr>
        <w:t>vej dohody (ďalej len „služba“) a záväzok Objednávateľa zaplatiť za poskytnuté služby cenu v súlade čl. V Rámcovej dohody.</w:t>
      </w:r>
    </w:p>
    <w:p w:rsidR="008B4750" w:rsidRPr="00024204" w:rsidRDefault="008B4750" w:rsidP="008B4750">
      <w:pPr>
        <w:pStyle w:val="Default"/>
      </w:pPr>
      <w:r w:rsidRPr="00024204">
        <w:rPr>
          <w:rFonts w:ascii="Arial Narrow" w:hAnsi="Arial Narrow"/>
          <w:sz w:val="22"/>
          <w:szCs w:val="22"/>
        </w:rPr>
        <w:t xml:space="preserve">     </w:t>
      </w:r>
    </w:p>
    <w:p w:rsidR="008B4750" w:rsidRPr="00024204" w:rsidRDefault="008B4750" w:rsidP="00133335">
      <w:pPr>
        <w:pStyle w:val="Odsekzoznamu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</w:rPr>
        <w:t xml:space="preserve">písomných </w:t>
      </w:r>
      <w:r w:rsidRPr="00024204">
        <w:rPr>
          <w:rFonts w:ascii="Arial Narrow" w:hAnsi="Arial Narrow"/>
          <w:sz w:val="22"/>
        </w:rPr>
        <w:t>objednávok</w:t>
      </w:r>
      <w:r w:rsidRPr="00024204">
        <w:t>.</w:t>
      </w:r>
    </w:p>
    <w:p w:rsidR="008B4750" w:rsidRPr="00024204" w:rsidRDefault="008B4750" w:rsidP="008B4750">
      <w:pPr>
        <w:pStyle w:val="Odsekzoznamu"/>
        <w:ind w:left="0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133335">
      <w:pPr>
        <w:pStyle w:val="Odsekzoznamu"/>
        <w:numPr>
          <w:ilvl w:val="1"/>
          <w:numId w:val="5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</w:rPr>
        <w:t>zákona č. 343/2015 Z.z..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</w:p>
    <w:p w:rsidR="008B4750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>predpismi vyžadované údaje.</w:t>
      </w:r>
    </w:p>
    <w:p w:rsidR="008B4750" w:rsidRPr="00024204" w:rsidRDefault="008B4750" w:rsidP="008B4750">
      <w:pPr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zabezpečiť pre Objednávateľa výkon služieb podľa tejto zmluvy v dohodnutej kvalite, rozsahu, cene a v termínoch, v zmysle objednávky objednávateľa,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B4750" w:rsidRPr="00BE1832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do </w:t>
      </w:r>
      <w:r>
        <w:rPr>
          <w:rFonts w:ascii="Arial Narrow" w:hAnsi="Arial Narrow"/>
          <w:sz w:val="22"/>
          <w:szCs w:val="22"/>
        </w:rPr>
        <w:t>prostriedkov protiplynovej služby</w:t>
      </w:r>
      <w:r w:rsidRPr="0002420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>y zaznamenať</w:t>
      </w:r>
      <w:r w:rsidRPr="00024204">
        <w:rPr>
          <w:rFonts w:ascii="Arial Narrow" w:hAnsi="Arial Narrow"/>
          <w:sz w:val="22"/>
          <w:szCs w:val="22"/>
        </w:rPr>
        <w:t xml:space="preserve"> 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 dokumentácii vykoná Dodávateľ bez úhrady.</w:t>
      </w:r>
    </w:p>
    <w:p w:rsidR="008B4750" w:rsidRPr="00024204" w:rsidRDefault="008B4750" w:rsidP="008B4750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5E263D" w:rsidRDefault="005E263D" w:rsidP="008B4750">
      <w:pPr>
        <w:jc w:val="center"/>
        <w:rPr>
          <w:rFonts w:ascii="Arial Narrow" w:hAnsi="Arial Narrow"/>
          <w:b/>
          <w:sz w:val="22"/>
        </w:rPr>
      </w:pPr>
    </w:p>
    <w:p w:rsidR="005E263D" w:rsidRDefault="005E263D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lastRenderedPageBreak/>
        <w:t>Čl. III</w:t>
      </w:r>
    </w:p>
    <w:p w:rsidR="008B4750" w:rsidRDefault="008B4750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5E263D" w:rsidRPr="00024204" w:rsidRDefault="005E263D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vady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8B4750" w:rsidRPr="00024204" w:rsidRDefault="008B4750" w:rsidP="008B4750">
      <w:pPr>
        <w:tabs>
          <w:tab w:val="num" w:pos="567"/>
        </w:tabs>
        <w:ind w:left="720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r>
        <w:rPr>
          <w:rFonts w:ascii="Arial Narrow" w:hAnsi="Arial Narrow"/>
          <w:sz w:val="22"/>
        </w:rPr>
        <w:t>vade</w:t>
      </w:r>
      <w:r w:rsidRPr="00024204">
        <w:rPr>
          <w:rFonts w:ascii="Arial Narrow" w:hAnsi="Arial Narrow"/>
          <w:sz w:val="22"/>
        </w:rPr>
        <w:t xml:space="preserve"> služby musí obsahovať: 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 resp. iné určenie času dodania.</w:t>
      </w:r>
    </w:p>
    <w:p w:rsidR="008B4750" w:rsidRPr="00024204" w:rsidRDefault="008B4750" w:rsidP="008B4750">
      <w:pPr>
        <w:pStyle w:val="Odsekzoznamu"/>
        <w:tabs>
          <w:tab w:val="num" w:pos="567"/>
          <w:tab w:val="left" w:pos="1134"/>
        </w:tabs>
        <w:ind w:left="1134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1"/>
          <w:numId w:val="48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Na nároky Objednávateľa z vád poskytovaných služieb sa vzťahujú príslušné ustanovenia Obchodného zákonníka.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>najneskôr do 5 pracovných dní od jej uplatnenia, tzn. od doručenia oznámenia o </w:t>
      </w:r>
      <w:r>
        <w:rPr>
          <w:rFonts w:ascii="Arial Narrow" w:hAnsi="Arial Narrow"/>
          <w:sz w:val="22"/>
        </w:rPr>
        <w:t>vade</w:t>
      </w:r>
      <w:r w:rsidRPr="00024204">
        <w:rPr>
          <w:rFonts w:ascii="Arial Narrow" w:hAnsi="Arial Narrow"/>
          <w:sz w:val="22"/>
        </w:rPr>
        <w:t xml:space="preserve"> služby. V prípade nedodržania tejto lehoty, je objednávateľ oprávnený odstúpiť od objednávky v časti týkajúcej sa nekvalitnej služby.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7379C">
        <w:rPr>
          <w:rFonts w:ascii="Arial Narrow" w:hAnsi="Arial Narrow"/>
          <w:sz w:val="22"/>
        </w:rPr>
        <w:t xml:space="preserve">Doba poskytovanej záruky na vykonané servisné práce musí byť minimálne 3 mesiace a na vymenené náhradné diely 6 mesiacov. Záruka musí začať plynúť odo dňa prevzatia </w:t>
      </w:r>
      <w:r>
        <w:rPr>
          <w:rFonts w:ascii="Arial Narrow" w:hAnsi="Arial Narrow"/>
          <w:sz w:val="22"/>
        </w:rPr>
        <w:t>služby Objednávateľom</w:t>
      </w:r>
      <w:r w:rsidRPr="00A7379C">
        <w:rPr>
          <w:rFonts w:ascii="Arial Narrow" w:hAnsi="Arial Narrow"/>
          <w:sz w:val="22"/>
        </w:rPr>
        <w:t xml:space="preserve"> pričom rozhodujúcim je dátum uvedený na preberacom a odovzdávacom protokole k jednotlivým dodávkam </w:t>
      </w:r>
      <w:r>
        <w:rPr>
          <w:rFonts w:ascii="Arial Narrow" w:hAnsi="Arial Narrow"/>
          <w:sz w:val="22"/>
        </w:rPr>
        <w:t>služby</w:t>
      </w:r>
      <w:r w:rsidRPr="00A7379C">
        <w:rPr>
          <w:rFonts w:ascii="Arial Narrow" w:hAnsi="Arial Narrow"/>
          <w:sz w:val="22"/>
        </w:rPr>
        <w:t>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A7379C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F7A82">
        <w:rPr>
          <w:rFonts w:ascii="Arial Narrow" w:hAnsi="Arial Narrow"/>
          <w:sz w:val="22"/>
        </w:rPr>
        <w:t xml:space="preserve">Zmluvné  strany sa  dohodli, že v prípade spôsobenia  škody  </w:t>
      </w:r>
      <w:r>
        <w:rPr>
          <w:rFonts w:ascii="Arial Narrow" w:hAnsi="Arial Narrow"/>
          <w:sz w:val="22"/>
        </w:rPr>
        <w:t xml:space="preserve">Dodávateľom Objednávateľovi </w:t>
      </w:r>
      <w:r w:rsidRPr="001F7A82">
        <w:rPr>
          <w:rFonts w:ascii="Arial Narrow" w:hAnsi="Arial Narrow"/>
          <w:sz w:val="22"/>
        </w:rPr>
        <w:t xml:space="preserve">ju  </w:t>
      </w:r>
      <w:r>
        <w:rPr>
          <w:rFonts w:ascii="Arial Narrow" w:hAnsi="Arial Narrow"/>
          <w:sz w:val="22"/>
        </w:rPr>
        <w:t xml:space="preserve">Dodávateľ  </w:t>
      </w:r>
      <w:r w:rsidRPr="001F7A82">
        <w:rPr>
          <w:rFonts w:ascii="Arial Narrow" w:hAnsi="Arial Narrow"/>
          <w:sz w:val="22"/>
        </w:rPr>
        <w:t>v plnom rozsahu nahradí.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B4750" w:rsidRPr="00024204" w:rsidRDefault="008B4750" w:rsidP="008B4750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1748F5" w:rsidRDefault="008B4750" w:rsidP="00133335">
      <w:pPr>
        <w:pStyle w:val="Default"/>
        <w:numPr>
          <w:ilvl w:val="0"/>
          <w:numId w:val="53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</w:t>
      </w:r>
      <w:r>
        <w:rPr>
          <w:rFonts w:ascii="Arial Narrow" w:hAnsi="Arial Narrow"/>
          <w:color w:val="auto"/>
          <w:sz w:val="22"/>
          <w:szCs w:val="22"/>
        </w:rPr>
        <w:t>Prílohy č. 1 tejto Rámcovej dohody.</w:t>
      </w:r>
    </w:p>
    <w:p w:rsidR="008B4750" w:rsidRPr="001748F5" w:rsidRDefault="008B4750" w:rsidP="008B4750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5E263D" w:rsidRDefault="008B4750" w:rsidP="00133335">
      <w:pPr>
        <w:pStyle w:val="Odsekzoznamu"/>
        <w:numPr>
          <w:ilvl w:val="0"/>
          <w:numId w:val="53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b/>
          <w:bCs/>
          <w:sz w:val="22"/>
        </w:rPr>
      </w:pPr>
      <w:r w:rsidRPr="005E263D">
        <w:rPr>
          <w:rFonts w:ascii="Arial Narrow" w:hAnsi="Arial Narrow"/>
          <w:sz w:val="22"/>
        </w:rPr>
        <w:t>Služby sa budú vykonávať za účasti prevádzkovateľa zariadení objednávateľa, resp. ním poverenej osoby.</w:t>
      </w:r>
      <w:r w:rsidRPr="005E263D">
        <w:rPr>
          <w:rFonts w:ascii="Arial Narrow" w:hAnsi="Arial Narrow"/>
          <w:b/>
          <w:bCs/>
          <w:sz w:val="22"/>
        </w:rPr>
        <w:t xml:space="preserve">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</w:p>
    <w:p w:rsidR="008B4750" w:rsidRPr="00024204" w:rsidRDefault="008B4750" w:rsidP="008B4750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.............................EUR bez DPH , slovom: ....................................................................EUR bez DPH,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024204">
        <w:rPr>
          <w:rFonts w:ascii="Arial Narrow" w:hAnsi="Arial Narrow"/>
          <w:sz w:val="22"/>
        </w:rPr>
        <w:t xml:space="preserve">Faktúru v dvoch vyhotoveniach vystaví Dodávateľ až po </w:t>
      </w:r>
      <w:r>
        <w:rPr>
          <w:rFonts w:ascii="Arial Narrow" w:hAnsi="Arial Narrow"/>
          <w:sz w:val="22"/>
        </w:rPr>
        <w:t>vykonaní služieb</w:t>
      </w:r>
      <w:r w:rsidRPr="00024204">
        <w:rPr>
          <w:rFonts w:ascii="Arial Narrow" w:hAnsi="Arial Narrow"/>
          <w:sz w:val="22"/>
        </w:rPr>
        <w:t xml:space="preserve"> špecifikovan</w:t>
      </w:r>
      <w:r>
        <w:rPr>
          <w:rFonts w:ascii="Arial Narrow" w:hAnsi="Arial Narrow"/>
          <w:sz w:val="22"/>
        </w:rPr>
        <w:t>ých</w:t>
      </w:r>
      <w:r w:rsidRPr="00024204">
        <w:rPr>
          <w:rFonts w:ascii="Arial Narrow" w:hAnsi="Arial Narrow"/>
          <w:sz w:val="22"/>
        </w:rPr>
        <w:t xml:space="preserve"> v objednávke Objednávateľa a zároveň doručí vystavenú faktúru Objednávateľovi.</w:t>
      </w:r>
    </w:p>
    <w:p w:rsidR="008B4750" w:rsidRPr="00024204" w:rsidRDefault="008B4750" w:rsidP="008B4750">
      <w:pPr>
        <w:jc w:val="both"/>
        <w:rPr>
          <w:rFonts w:ascii="Arial Narrow" w:hAnsi="Arial Narrow"/>
          <w:color w:val="FF0000"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Cenu za dodanú službu uhradí Objednávateľ na základe faktúry do 30 dní odo dňa je</w:t>
      </w:r>
      <w:r>
        <w:rPr>
          <w:rFonts w:ascii="Arial Narrow" w:hAnsi="Arial Narrow"/>
          <w:sz w:val="22"/>
        </w:rPr>
        <w:t>j</w:t>
      </w:r>
      <w:r w:rsidRPr="00024204">
        <w:rPr>
          <w:rFonts w:ascii="Arial Narrow" w:hAnsi="Arial Narrow"/>
          <w:sz w:val="22"/>
        </w:rPr>
        <w:t xml:space="preserve"> doručenia. Ak faktúra a jej prílohy nebudú obsahovať všetky dohodnuté náležitosti</w:t>
      </w:r>
      <w:r>
        <w:rPr>
          <w:rFonts w:ascii="Arial Narrow" w:hAnsi="Arial Narrow"/>
          <w:sz w:val="22"/>
        </w:rPr>
        <w:t xml:space="preserve"> a náležitosti daňového dokladu</w:t>
      </w:r>
      <w:r w:rsidRPr="00024204">
        <w:rPr>
          <w:rFonts w:ascii="Arial Narrow" w:hAnsi="Arial Narrow"/>
          <w:sz w:val="22"/>
        </w:rPr>
        <w:t xml:space="preserve">, objednávateľ môže takúto faktúru vrátiť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zmluvy.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Čl. VII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PRAVIDLÁ PRE Z</w:t>
      </w:r>
      <w:r>
        <w:rPr>
          <w:rFonts w:ascii="Arial Narrow" w:hAnsi="Arial Narrow"/>
          <w:b/>
          <w:color w:val="000000"/>
          <w:sz w:val="22"/>
        </w:rPr>
        <w:t>M</w:t>
      </w:r>
      <w:r w:rsidRPr="00024204">
        <w:rPr>
          <w:rFonts w:ascii="Arial Narrow" w:hAnsi="Arial Narrow"/>
          <w:b/>
          <w:color w:val="000000"/>
          <w:sz w:val="22"/>
        </w:rPr>
        <w:t>ENU SUBDODÁVATEĽA</w:t>
      </w:r>
    </w:p>
    <w:p w:rsidR="008B4750" w:rsidRPr="00024204" w:rsidRDefault="008B4750" w:rsidP="00133335">
      <w:pPr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ind w:left="709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Dodávateľ je povinný Objednávateľovi oznámiť akúkoľvek zmenu údajov u subdodávateľov uvedených 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 Rámcovej dohody, a to bezodkladne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8B4750" w:rsidRPr="00024204" w:rsidRDefault="008B4750" w:rsidP="008B4750">
      <w:pPr>
        <w:pStyle w:val="Odsekzoznamu"/>
        <w:ind w:left="567"/>
        <w:contextualSpacing/>
        <w:jc w:val="both"/>
        <w:rPr>
          <w:rFonts w:ascii="Arial Narrow" w:hAnsi="Arial Narrow" w:cs="Arial"/>
          <w:bCs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P</w:t>
      </w:r>
      <w:r w:rsidRPr="00024204">
        <w:rPr>
          <w:rFonts w:ascii="Arial Narrow" w:hAnsi="Arial Narrow"/>
          <w:sz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</w:rPr>
        <w:t>Dodávateľa</w:t>
      </w:r>
      <w:r w:rsidRPr="00024204">
        <w:rPr>
          <w:rFonts w:ascii="Arial Narrow" w:hAnsi="Arial Narrow"/>
          <w:sz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</w:rPr>
        <w:t xml:space="preserve">tohto článku </w:t>
      </w:r>
      <w:r w:rsidRPr="00024204">
        <w:rPr>
          <w:rFonts w:ascii="Arial Narrow" w:hAnsi="Arial Narrow"/>
          <w:sz w:val="22"/>
        </w:rPr>
        <w:t xml:space="preserve"> Rámcovej dohody platia po celú dobu trvania tejto Rámcovej dohody.</w:t>
      </w:r>
    </w:p>
    <w:p w:rsidR="008B4750" w:rsidRPr="00024204" w:rsidRDefault="008B4750" w:rsidP="008B4750">
      <w:pPr>
        <w:pStyle w:val="Odsekzoznamu"/>
        <w:rPr>
          <w:rFonts w:ascii="Arial Narrow" w:hAnsi="Arial Narrow" w:cs="Arial"/>
          <w:bCs/>
          <w:sz w:val="22"/>
        </w:rPr>
      </w:pPr>
    </w:p>
    <w:p w:rsidR="008B4750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SANKCIE</w:t>
      </w:r>
    </w:p>
    <w:p w:rsidR="008B4750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 prípade omeškania </w:t>
      </w:r>
      <w:r>
        <w:rPr>
          <w:rFonts w:ascii="Arial Narrow" w:hAnsi="Arial Narrow"/>
          <w:sz w:val="22"/>
        </w:rPr>
        <w:t xml:space="preserve">Dodávateľa </w:t>
      </w:r>
      <w:r w:rsidRPr="00024204">
        <w:rPr>
          <w:rFonts w:ascii="Arial Narrow" w:hAnsi="Arial Narrow"/>
          <w:sz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B4750" w:rsidRDefault="008B4750" w:rsidP="008B4750">
      <w:p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8B4750" w:rsidRPr="00024204" w:rsidRDefault="008B4750" w:rsidP="008B4750">
      <w:pPr>
        <w:ind w:left="709" w:hanging="709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8B4750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8B4750" w:rsidRPr="00024204" w:rsidRDefault="008B4750" w:rsidP="00133335">
      <w:pPr>
        <w:pStyle w:val="Odsekzoznamu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numPr>
          <w:ilvl w:val="1"/>
          <w:numId w:val="51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Túto Rámcovú dohodu môže každý Účastník Rámcovej dohody písomne vypovedať bez udania dôvodu s výpovednou lehotou dva mesiace. Dvojmesačná výpovedná lehota začína plynúť prvým dňom mesiaca nasledujúceho po mesiaci, v ktorom bola výpoveď doručená druhému Účastníkovi rámcovej dohody.</w:t>
      </w:r>
    </w:p>
    <w:p w:rsidR="008B4750" w:rsidRDefault="008B4750" w:rsidP="00133335">
      <w:pPr>
        <w:numPr>
          <w:ilvl w:val="1"/>
          <w:numId w:val="51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Odstúpiť od Rámcovej dohody môže ktorýkoľvek Účastník Rámcovej dohody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</w:rPr>
        <w:t xml:space="preserve">na strane Dodávateľa </w:t>
      </w:r>
      <w:r w:rsidRPr="00024204">
        <w:rPr>
          <w:rFonts w:ascii="Arial Narrow" w:hAnsi="Arial Narrow"/>
          <w:sz w:val="22"/>
        </w:rPr>
        <w:t xml:space="preserve">sa považuje </w:t>
      </w:r>
      <w:r>
        <w:rPr>
          <w:rFonts w:ascii="Arial Narrow" w:hAnsi="Arial Narrow"/>
          <w:sz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</w:rPr>
        <w:t>. omeškani</w:t>
      </w:r>
      <w:r>
        <w:rPr>
          <w:rFonts w:ascii="Arial Narrow" w:hAnsi="Arial Narrow"/>
          <w:sz w:val="22"/>
        </w:rPr>
        <w:t>e</w:t>
      </w:r>
      <w:r w:rsidRPr="00024204">
        <w:rPr>
          <w:rFonts w:ascii="Arial Narrow" w:hAnsi="Arial Narrow"/>
          <w:sz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</w:rPr>
        <w:t>6</w:t>
      </w:r>
      <w:r w:rsidRPr="00024204">
        <w:rPr>
          <w:rFonts w:ascii="Arial Narrow" w:hAnsi="Arial Narrow"/>
          <w:sz w:val="22"/>
        </w:rPr>
        <w:t>0. dňa od ich splatnosti. Odstúpenie od Rámcovej dohody je účinné dňom doručenia oznámenia o odstúpení od rámcovej dohody druhému Účastníkovi rámcovej dohody.</w:t>
      </w:r>
    </w:p>
    <w:p w:rsidR="008B4750" w:rsidRPr="002C7C0B" w:rsidRDefault="008B4750" w:rsidP="00133335">
      <w:pPr>
        <w:numPr>
          <w:ilvl w:val="1"/>
          <w:numId w:val="51"/>
        </w:numPr>
        <w:tabs>
          <w:tab w:val="left" w:pos="567"/>
          <w:tab w:val="left" w:pos="2880"/>
          <w:tab w:val="left" w:pos="4500"/>
        </w:tabs>
        <w:spacing w:before="160" w:after="0" w:line="240" w:lineRule="auto"/>
        <w:ind w:left="709" w:hanging="709"/>
        <w:jc w:val="both"/>
        <w:rPr>
          <w:rFonts w:ascii="Arial Narrow" w:hAnsi="Arial Narrow"/>
          <w:sz w:val="22"/>
        </w:rPr>
      </w:pPr>
      <w:r w:rsidRPr="002C7C0B">
        <w:rPr>
          <w:rFonts w:ascii="Arial Narrow" w:hAnsi="Arial Narrow"/>
          <w:sz w:val="22"/>
        </w:rPr>
        <w:t>Objednávateľ je oprávnený odstúpiť od tejto Rámcovej dohody aj v prípade, ak: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voči Dodávateľovi začalo konkurzné konanie alebo reštrukturalizácia,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vstúpil do likvidácie,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nebol v čase uzavretia tejto Rámcovej dohody zapísaný v registri partnerov verejného sektora alebo bol z toho registra vymazaný,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 čase jej uzavretia existoval dôvod na vylúčenie Dodávateľa pre nesplnenie podmienky účasti podľa § 32 ods. 1 písm. a) zákona č. 343/2015 Z.z.,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táto nemala byť uzavretá s Dodávateľom v súvislosti so závažným porušením povinnosti vyplývajúcej z právne záväzného aktu Európskej únie, o ktorom rozhodol Súdny dvor Európskej únie v súlade so Zmluvou o fungovaní Európskej únie.</w:t>
      </w:r>
    </w:p>
    <w:p w:rsidR="008B4750" w:rsidRDefault="008B4750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Pr="004A4B57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8B4750" w:rsidRPr="00024204" w:rsidRDefault="008B4750" w:rsidP="008B4750">
      <w:pPr>
        <w:pStyle w:val="Default"/>
        <w:ind w:left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>.</w:t>
      </w: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Rámcová dohoda sa uzatvára na dobu určitú, a to na dobu 4 rokov odo dňa nadobudnutia jej účinnosti alebo do vyčerpania finančného limitu podľa </w:t>
      </w:r>
      <w:r>
        <w:rPr>
          <w:rFonts w:ascii="Arial Narrow" w:hAnsi="Arial Narrow"/>
          <w:sz w:val="22"/>
        </w:rPr>
        <w:t xml:space="preserve">čl. V </w:t>
      </w:r>
      <w:r w:rsidRPr="00024204">
        <w:rPr>
          <w:rFonts w:ascii="Arial Narrow" w:hAnsi="Arial Narrow"/>
          <w:sz w:val="22"/>
        </w:rPr>
        <w:t>bodu 5.1 tejto Rámcovej dohody, podľa toho, ktorá skutočnosť nastane  skôr.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 Rámcovej dohody si do 5 dní od nadobudnutia účinnosti tejto Rámcovej dohody oznámia kontaktné  osoby.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Meniť a dopĺňať</w:t>
      </w:r>
      <w:r w:rsidRPr="00024204">
        <w:rPr>
          <w:rFonts w:ascii="Arial Narrow" w:hAnsi="Arial Narrow" w:cs="Calibri"/>
          <w:bCs/>
          <w:sz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sz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</w:rPr>
        <w:t xml:space="preserve">zákona 343/2005 Z.z. 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Táto Rámcová dohoda je vyhotovená v piatich (5)  rovnopisoch s platnosťou originálu, dva (2) rovnopisy zostanú Dodávateľovi a tri (3) rovnopisy zostanú Objednávateľovi.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Rámcovej dohody prehlasujú, že túto Rámcovú dohodu prečítali, jej obsahu porozumeli a na znak súhlasu ju vlastnoručne podpisujú.</w:t>
      </w:r>
    </w:p>
    <w:p w:rsidR="008B4750" w:rsidRPr="00024204" w:rsidRDefault="008B4750" w:rsidP="00133335">
      <w:pPr>
        <w:numPr>
          <w:ilvl w:val="1"/>
          <w:numId w:val="43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má nasledujúce prílohy, ktoré tvoria jej neoddeliteľnú súčasť: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iCs/>
          <w:sz w:val="22"/>
        </w:rPr>
        <w:t xml:space="preserve">Príloha č. 1 - </w:t>
      </w:r>
      <w:r w:rsidRPr="00024204">
        <w:rPr>
          <w:rFonts w:ascii="Arial Narrow" w:hAnsi="Arial Narrow"/>
          <w:sz w:val="22"/>
        </w:rPr>
        <w:t xml:space="preserve">Opis predmetu zákazky (predmet plnenia Rámcovej dohody)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2 – Štruktúrovaný rozpočet predmetu zákazky.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3</w:t>
      </w:r>
      <w:r w:rsidRPr="00024204">
        <w:rPr>
          <w:rFonts w:ascii="Arial Narrow" w:hAnsi="Arial Narrow"/>
          <w:sz w:val="22"/>
        </w:rPr>
        <w:t xml:space="preserve"> – Zoznam subdodávateľov 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    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Za dodávateľa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Za objednávateľa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b/>
          <w:sz w:val="22"/>
        </w:rPr>
        <w:t xml:space="preserve">       </w:t>
      </w:r>
      <w:r w:rsidRPr="00024204">
        <w:rPr>
          <w:rFonts w:ascii="Arial Narrow" w:hAnsi="Arial Narrow"/>
          <w:sz w:val="22"/>
        </w:rPr>
        <w:t>-––––––––––––––––––––</w:t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  <w:t xml:space="preserve">                  –––––––––––––––––––––</w:t>
      </w:r>
    </w:p>
    <w:p w:rsidR="008B4750" w:rsidRDefault="008B4750" w:rsidP="008B4750">
      <w:pPr>
        <w:spacing w:after="0" w:line="240" w:lineRule="auto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 xml:space="preserve">          Ing. Ondrej Varačka</w:t>
      </w:r>
    </w:p>
    <w:p w:rsidR="008B4750" w:rsidRDefault="008B4750" w:rsidP="008B4750">
      <w:pPr>
        <w:spacing w:after="0" w:line="240" w:lineRule="auto"/>
        <w:ind w:left="5440" w:firstLine="6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generálny tajomník </w:t>
      </w:r>
    </w:p>
    <w:p w:rsidR="008B4750" w:rsidRPr="00024204" w:rsidRDefault="008B4750" w:rsidP="008B4750">
      <w:pPr>
        <w:spacing w:after="0" w:line="240" w:lineRule="auto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                                                                                                                      služobného úradu MV SR</w:t>
      </w:r>
    </w:p>
    <w:p w:rsidR="008B4750" w:rsidRPr="00024204" w:rsidRDefault="008B4750" w:rsidP="008B4750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br w:type="page"/>
      </w: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3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</w:t>
            </w: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štruktúrovaného rozpočtu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rámcovej dohody</w:t>
            </w: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/>
    <w:p w:rsidR="0056395A" w:rsidRDefault="0056395A"/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601EA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  <w:bookmarkStart w:id="0" w:name="_GoBack"/>
      <w:bookmarkEnd w:id="0"/>
    </w:p>
    <w:sectPr w:rsidR="00B62834" w:rsidSect="00D5104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F0" w:rsidRDefault="000805F0" w:rsidP="00E4407D">
      <w:pPr>
        <w:spacing w:after="0" w:line="240" w:lineRule="auto"/>
      </w:pPr>
      <w:r>
        <w:separator/>
      </w:r>
    </w:p>
  </w:endnote>
  <w:endnote w:type="continuationSeparator" w:id="0">
    <w:p w:rsidR="000805F0" w:rsidRDefault="000805F0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601EA0" w:rsidRPr="00601EA0">
      <w:rPr>
        <w:rFonts w:ascii="Arial Narrow" w:hAnsi="Arial Narrow"/>
        <w:noProof/>
        <w:sz w:val="16"/>
        <w:szCs w:val="16"/>
        <w:lang w:val="sk-SK"/>
      </w:rPr>
      <w:t>8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F0" w:rsidRDefault="000805F0" w:rsidP="00E4407D">
      <w:pPr>
        <w:spacing w:after="0" w:line="240" w:lineRule="auto"/>
      </w:pPr>
      <w:r>
        <w:separator/>
      </w:r>
    </w:p>
  </w:footnote>
  <w:footnote w:type="continuationSeparator" w:id="0">
    <w:p w:rsidR="000805F0" w:rsidRDefault="000805F0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805F0"/>
    <w:rsid w:val="000A4A39"/>
    <w:rsid w:val="000B6E04"/>
    <w:rsid w:val="000F5E33"/>
    <w:rsid w:val="001079ED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01EA0"/>
    <w:rsid w:val="00627F0B"/>
    <w:rsid w:val="006438B5"/>
    <w:rsid w:val="00672A18"/>
    <w:rsid w:val="00722EEC"/>
    <w:rsid w:val="00757DA6"/>
    <w:rsid w:val="0079023D"/>
    <w:rsid w:val="007A3E0B"/>
    <w:rsid w:val="007D0E51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972868"/>
    <w:rsid w:val="009A6CEE"/>
    <w:rsid w:val="009D1107"/>
    <w:rsid w:val="00A2146A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5389-7127-4653-A3FB-04C3149B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80</cp:revision>
  <cp:lastPrinted>2018-12-06T08:40:00Z</cp:lastPrinted>
  <dcterms:created xsi:type="dcterms:W3CDTF">2018-10-10T07:51:00Z</dcterms:created>
  <dcterms:modified xsi:type="dcterms:W3CDTF">2019-01-22T09:59:00Z</dcterms:modified>
</cp:coreProperties>
</file>