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DA0" w:rsidRPr="00816DC6" w:rsidRDefault="00A63E99">
      <w:pPr>
        <w:tabs>
          <w:tab w:val="left" w:pos="1080"/>
          <w:tab w:val="left" w:pos="2160"/>
          <w:tab w:val="left" w:pos="2880"/>
          <w:tab w:val="left" w:pos="4500"/>
          <w:tab w:val="left" w:pos="8709"/>
          <w:tab w:val="left" w:pos="8925"/>
          <w:tab w:val="left" w:pos="9282"/>
        </w:tabs>
        <w:spacing w:before="120"/>
        <w:jc w:val="right"/>
        <w:rPr>
          <w:rFonts w:ascii="Arial Narrow" w:eastAsia="Arial Narrow" w:hAnsi="Arial Narrow" w:cs="Arial Narrow"/>
          <w:color w:val="000000"/>
          <w:u w:color="000000"/>
          <w:lang w:val="sk-SK"/>
          <w14:textOutline w14:w="0" w14:cap="flat" w14:cmpd="sng" w14:algn="ctr">
            <w14:noFill/>
            <w14:prstDash w14:val="solid"/>
            <w14:bevel/>
          </w14:textOutline>
        </w:rPr>
      </w:pPr>
      <w:r w:rsidRPr="00816DC6">
        <w:rPr>
          <w:rFonts w:ascii="Arial Narrow" w:hAnsi="Arial Narrow" w:cs="Arial Unicode MS"/>
          <w:color w:val="000000"/>
          <w:u w:color="000000"/>
          <w:lang w:val="sk-SK"/>
          <w14:textOutline w14:w="0" w14:cap="flat" w14:cmpd="sng" w14:algn="ctr">
            <w14:noFill/>
            <w14:prstDash w14:val="solid"/>
            <w14:bevel/>
          </w14:textOutline>
        </w:rPr>
        <w:t>Príloha č. 5 súťažných podkladov</w:t>
      </w:r>
    </w:p>
    <w:p w:rsidR="00A90DA0" w:rsidRPr="00816DC6" w:rsidRDefault="00A90DA0">
      <w:pPr>
        <w:widowControl w:val="0"/>
        <w:tabs>
          <w:tab w:val="left" w:pos="357"/>
          <w:tab w:val="left" w:pos="714"/>
          <w:tab w:val="left" w:pos="1071"/>
          <w:tab w:val="left" w:pos="1428"/>
          <w:tab w:val="left" w:pos="1785"/>
          <w:tab w:val="left" w:pos="2142"/>
          <w:tab w:val="left" w:pos="2499"/>
          <w:tab w:val="left" w:pos="2856"/>
          <w:tab w:val="left" w:pos="3213"/>
          <w:tab w:val="left" w:pos="3570"/>
          <w:tab w:val="left" w:pos="3927"/>
          <w:tab w:val="left" w:pos="4284"/>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color w:val="000000"/>
          <w:sz w:val="22"/>
          <w:szCs w:val="22"/>
          <w:u w:color="000000"/>
          <w:lang w:val="sk-SK"/>
          <w14:textOutline w14:w="0" w14:cap="flat" w14:cmpd="sng" w14:algn="ctr">
            <w14:noFill/>
            <w14:prstDash w14:val="solid"/>
            <w14:bevel/>
          </w14:textOutline>
        </w:rPr>
      </w:pPr>
    </w:p>
    <w:p w:rsidR="00A90DA0" w:rsidRPr="00816DC6" w:rsidRDefault="00A90DA0">
      <w:pPr>
        <w:widowControl w:val="0"/>
        <w:tabs>
          <w:tab w:val="left" w:pos="357"/>
          <w:tab w:val="left" w:pos="714"/>
          <w:tab w:val="left" w:pos="1071"/>
          <w:tab w:val="left" w:pos="1428"/>
          <w:tab w:val="left" w:pos="1785"/>
          <w:tab w:val="left" w:pos="2142"/>
          <w:tab w:val="left" w:pos="2499"/>
          <w:tab w:val="left" w:pos="2856"/>
          <w:tab w:val="left" w:pos="3213"/>
          <w:tab w:val="left" w:pos="3570"/>
          <w:tab w:val="left" w:pos="3927"/>
          <w:tab w:val="left" w:pos="4284"/>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color w:val="000000"/>
          <w:sz w:val="22"/>
          <w:szCs w:val="22"/>
          <w:u w:color="000000"/>
          <w:lang w:val="sk-SK"/>
          <w14:textOutline w14:w="0" w14:cap="flat" w14:cmpd="sng" w14:algn="ctr">
            <w14:noFill/>
            <w14:prstDash w14:val="solid"/>
            <w14:bevel/>
          </w14:textOutline>
        </w:rPr>
      </w:pPr>
    </w:p>
    <w:p w:rsidR="00A90DA0" w:rsidRPr="00816DC6" w:rsidRDefault="00A63E99">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center"/>
        <w:rPr>
          <w:rFonts w:ascii="Arial Narrow" w:eastAsia="Arial Narrow" w:hAnsi="Arial Narrow" w:cs="Arial Narrow"/>
          <w:b/>
          <w:bCs/>
          <w:color w:val="000000"/>
          <w:sz w:val="32"/>
          <w:szCs w:val="32"/>
          <w:u w:color="000000"/>
          <w:lang w:val="sk-SK"/>
          <w14:textOutline w14:w="0" w14:cap="flat" w14:cmpd="sng" w14:algn="ctr">
            <w14:noFill/>
            <w14:prstDash w14:val="solid"/>
            <w14:bevel/>
          </w14:textOutline>
        </w:rPr>
      </w:pPr>
      <w:r w:rsidRPr="00816DC6">
        <w:rPr>
          <w:rFonts w:ascii="Arial Narrow" w:hAnsi="Arial Narrow" w:cs="Arial Unicode MS"/>
          <w:b/>
          <w:bCs/>
          <w:color w:val="000000"/>
          <w:sz w:val="32"/>
          <w:szCs w:val="32"/>
          <w:u w:color="000000"/>
          <w:lang w:val="sk-SK"/>
          <w14:textOutline w14:w="0" w14:cap="flat" w14:cmpd="sng" w14:algn="ctr">
            <w14:noFill/>
            <w14:prstDash w14:val="solid"/>
            <w14:bevel/>
          </w14:textOutline>
        </w:rPr>
        <w:t>Podmienky účasti</w:t>
      </w:r>
    </w:p>
    <w:p w:rsidR="00A90DA0" w:rsidRPr="00816DC6" w:rsidRDefault="00A90DA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center"/>
        <w:rPr>
          <w:rFonts w:ascii="Arial Narrow" w:eastAsia="Arial Narrow" w:hAnsi="Arial Narrow" w:cs="Arial Narrow"/>
          <w:b/>
          <w:bCs/>
          <w:color w:val="000000"/>
          <w:sz w:val="32"/>
          <w:szCs w:val="32"/>
          <w:u w:color="000000"/>
          <w:lang w:val="sk-SK"/>
          <w14:textOutline w14:w="0" w14:cap="flat" w14:cmpd="sng" w14:algn="ctr">
            <w14:noFill/>
            <w14:prstDash w14:val="solid"/>
            <w14:bevel/>
          </w14:textOutline>
        </w:rPr>
      </w:pPr>
    </w:p>
    <w:p w:rsidR="00A90DA0" w:rsidRPr="00B46AA2" w:rsidRDefault="00A63E99">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Cs w:val="26"/>
          <w:u w:color="000000"/>
          <w:lang w:val="sk-SK"/>
          <w14:textOutline w14:w="0" w14:cap="flat" w14:cmpd="sng" w14:algn="ctr">
            <w14:noFill/>
            <w14:prstDash w14:val="solid"/>
            <w14:bevel/>
          </w14:textOutline>
        </w:rPr>
      </w:pPr>
      <w:r w:rsidRPr="00B46AA2">
        <w:rPr>
          <w:rFonts w:ascii="Arial Narrow" w:hAnsi="Arial Narrow" w:cs="Arial Unicode MS"/>
          <w:b/>
          <w:bCs/>
          <w:color w:val="000000"/>
          <w:szCs w:val="26"/>
          <w:u w:color="000000"/>
          <w:lang w:val="sk-SK"/>
          <w14:textOutline w14:w="0" w14:cap="flat" w14:cmpd="sng" w14:algn="ctr">
            <w14:noFill/>
            <w14:prstDash w14:val="solid"/>
            <w14:bevel/>
          </w14:textOutline>
        </w:rPr>
        <w:t xml:space="preserve">Osobné postavenie v zmysle ustanovenia § 32 zákona č. 343/2015 Z. Z. </w:t>
      </w:r>
      <w:r w:rsidR="00B46AA2">
        <w:rPr>
          <w:rFonts w:ascii="Arial Narrow" w:hAnsi="Arial Narrow" w:cs="Arial Unicode MS"/>
          <w:b/>
          <w:bCs/>
          <w:color w:val="000000"/>
          <w:szCs w:val="26"/>
          <w:u w:color="000000"/>
          <w:lang w:val="sk-SK"/>
          <w14:textOutline w14:w="0" w14:cap="flat" w14:cmpd="sng" w14:algn="ctr">
            <w14:noFill/>
            <w14:prstDash w14:val="solid"/>
            <w14:bevel/>
          </w14:textOutline>
        </w:rPr>
        <w:t>o</w:t>
      </w:r>
      <w:r w:rsidRPr="00B46AA2">
        <w:rPr>
          <w:rFonts w:ascii="Arial Narrow" w:hAnsi="Arial Narrow" w:cs="Arial Unicode MS"/>
          <w:b/>
          <w:bCs/>
          <w:color w:val="000000"/>
          <w:szCs w:val="26"/>
          <w:u w:color="000000"/>
          <w:lang w:val="sk-SK"/>
          <w14:textOutline w14:w="0" w14:cap="flat" w14:cmpd="sng" w14:algn="ctr">
            <w14:noFill/>
            <w14:prstDash w14:val="solid"/>
            <w14:bevel/>
          </w14:textOutline>
        </w:rPr>
        <w:t xml:space="preserve"> verejnom obstarávaní v platnom znení </w:t>
      </w:r>
    </w:p>
    <w:p w:rsidR="00A90DA0" w:rsidRPr="00B46AA2" w:rsidRDefault="00A63E99" w:rsidP="00B46AA2">
      <w:pPr>
        <w:pStyle w:val="Predvolen"/>
        <w:spacing w:before="0"/>
        <w:jc w:val="both"/>
        <w:rPr>
          <w:rFonts w:ascii="Arial Narrow" w:eastAsia="Arial Narrow" w:hAnsi="Arial Narrow" w:cs="Arial Narrow"/>
          <w:b/>
          <w:bCs/>
          <w:szCs w:val="26"/>
          <w:shd w:val="clear" w:color="auto" w:fill="FFFFFF"/>
        </w:rPr>
      </w:pPr>
      <w:r w:rsidRPr="00B46AA2">
        <w:rPr>
          <w:rFonts w:ascii="Arial Narrow" w:hAnsi="Arial Narrow"/>
          <w:b/>
          <w:bCs/>
          <w:szCs w:val="26"/>
          <w:shd w:val="clear" w:color="auto" w:fill="FFFFFF"/>
        </w:rPr>
        <w:t xml:space="preserve">Vhodnosť vykonávať profesionálnu činnosť vrátane požiadaviek týkajúcich sa zápisu do </w:t>
      </w:r>
      <w:r w:rsidR="00B46AA2">
        <w:rPr>
          <w:rFonts w:ascii="Arial Narrow" w:hAnsi="Arial Narrow"/>
          <w:b/>
          <w:bCs/>
          <w:szCs w:val="26"/>
          <w:shd w:val="clear" w:color="auto" w:fill="FFFFFF"/>
        </w:rPr>
        <w:t>ž</w:t>
      </w:r>
      <w:r w:rsidRPr="00B46AA2">
        <w:rPr>
          <w:rFonts w:ascii="Arial Narrow" w:hAnsi="Arial Narrow"/>
          <w:b/>
          <w:bCs/>
          <w:szCs w:val="26"/>
          <w:shd w:val="clear" w:color="auto" w:fill="FFFFFF"/>
        </w:rPr>
        <w:t>ivnostenských alebo obchodných registrov</w:t>
      </w:r>
    </w:p>
    <w:p w:rsidR="00A90DA0" w:rsidRPr="00816DC6" w:rsidRDefault="00A90DA0">
      <w:pPr>
        <w:pStyle w:val="Predvolen"/>
        <w:spacing w:before="0"/>
        <w:rPr>
          <w:rFonts w:ascii="Arial Narrow" w:eastAsia="Arial Narrow" w:hAnsi="Arial Narrow" w:cs="Arial Narrow"/>
          <w:b/>
          <w:bCs/>
          <w:sz w:val="26"/>
          <w:szCs w:val="26"/>
          <w:shd w:val="clear" w:color="auto" w:fill="FFFFFF"/>
        </w:rPr>
      </w:pPr>
    </w:p>
    <w:p w:rsidR="00A90DA0" w:rsidRPr="00850386" w:rsidRDefault="00A63E99">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Zoznam a krátky opis podmienok: </w:t>
      </w:r>
    </w:p>
    <w:p w:rsidR="00850386" w:rsidRPr="00850386" w:rsidRDefault="00850386" w:rsidP="00850386">
      <w:pPr>
        <w:jc w:val="both"/>
        <w:rPr>
          <w:rFonts w:ascii="Arial Narrow" w:eastAsia="Arial" w:hAnsi="Arial Narrow"/>
          <w:sz w:val="22"/>
          <w:szCs w:val="22"/>
          <w:lang w:val="sk-SK"/>
        </w:rPr>
      </w:pPr>
      <w:r w:rsidRPr="00850386">
        <w:rPr>
          <w:rFonts w:ascii="Arial Narrow" w:eastAsia="Arial" w:hAnsi="Arial Narrow"/>
          <w:sz w:val="22"/>
          <w:szCs w:val="22"/>
          <w:lang w:val="sk-SK"/>
        </w:rPr>
        <w:t>Uchádzač musí spĺňať nasledovné podmienky účasti týkajúce sa osobného postavenia :</w:t>
      </w:r>
    </w:p>
    <w:p w:rsidR="00850386" w:rsidRPr="00850386" w:rsidRDefault="00850386" w:rsidP="00850386">
      <w:pPr>
        <w:pStyle w:val="Odsekzoznamu"/>
        <w:numPr>
          <w:ilvl w:val="0"/>
          <w:numId w:val="1"/>
        </w:numPr>
        <w:spacing w:after="200" w:line="276" w:lineRule="auto"/>
        <w:jc w:val="both"/>
        <w:rPr>
          <w:rFonts w:ascii="Arial Narrow" w:eastAsia="Arial" w:hAnsi="Arial Narrow"/>
          <w:noProof/>
        </w:rPr>
      </w:pPr>
      <w:r w:rsidRPr="0085038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850386" w:rsidRPr="00850386" w:rsidRDefault="00850386" w:rsidP="00850386">
      <w:pPr>
        <w:pStyle w:val="Odsekzoznamu"/>
        <w:ind w:left="681"/>
        <w:jc w:val="both"/>
        <w:rPr>
          <w:rFonts w:ascii="Arial Narrow" w:eastAsia="Arial" w:hAnsi="Arial Narrow"/>
        </w:rPr>
      </w:pPr>
      <w:r w:rsidRPr="00850386">
        <w:rPr>
          <w:rFonts w:ascii="Arial Narrow" w:eastAsia="Arial" w:hAnsi="Arial Narrow"/>
        </w:rPr>
        <w:t xml:space="preserve"> </w:t>
      </w:r>
    </w:p>
    <w:p w:rsidR="00850386" w:rsidRPr="00850386" w:rsidRDefault="00850386" w:rsidP="00850386">
      <w:pPr>
        <w:pStyle w:val="Odsekzoznamu"/>
        <w:numPr>
          <w:ilvl w:val="0"/>
          <w:numId w:val="1"/>
        </w:numPr>
        <w:spacing w:after="200" w:line="276" w:lineRule="auto"/>
        <w:jc w:val="both"/>
        <w:rPr>
          <w:rFonts w:ascii="Arial Narrow" w:eastAsia="Arial" w:hAnsi="Arial Narrow"/>
        </w:rPr>
      </w:pPr>
      <w:r w:rsidRPr="0085038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850386" w:rsidRPr="00850386" w:rsidRDefault="00850386" w:rsidP="00850386">
      <w:pPr>
        <w:pStyle w:val="Odsekzoznamu"/>
        <w:widowControl w:val="0"/>
        <w:tabs>
          <w:tab w:val="left" w:pos="0"/>
        </w:tabs>
        <w:spacing w:after="120" w:line="240" w:lineRule="exact"/>
        <w:jc w:val="both"/>
        <w:rPr>
          <w:rFonts w:ascii="Arial Narrow" w:eastAsia="Arial" w:hAnsi="Arial Narrow"/>
        </w:rPr>
      </w:pPr>
    </w:p>
    <w:p w:rsidR="00850386" w:rsidRPr="00850386" w:rsidRDefault="00850386" w:rsidP="00850386">
      <w:pPr>
        <w:pStyle w:val="Odsekzoznamu"/>
        <w:numPr>
          <w:ilvl w:val="0"/>
          <w:numId w:val="1"/>
        </w:numPr>
        <w:spacing w:after="200" w:line="276" w:lineRule="auto"/>
        <w:jc w:val="both"/>
        <w:rPr>
          <w:rFonts w:ascii="Arial Narrow" w:eastAsia="Arial" w:hAnsi="Arial Narrow"/>
        </w:rPr>
      </w:pPr>
      <w:r w:rsidRPr="00850386">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850386" w:rsidRPr="00850386" w:rsidRDefault="00850386" w:rsidP="00850386">
      <w:pPr>
        <w:pStyle w:val="Odsekzoznamu"/>
        <w:ind w:left="681"/>
        <w:jc w:val="both"/>
        <w:rPr>
          <w:rFonts w:ascii="Arial Narrow" w:eastAsia="Arial" w:hAnsi="Arial Narrow"/>
        </w:rPr>
      </w:pPr>
    </w:p>
    <w:p w:rsidR="00850386" w:rsidRPr="00850386" w:rsidRDefault="00850386" w:rsidP="00850386">
      <w:pPr>
        <w:pStyle w:val="Odsekzoznamu"/>
        <w:numPr>
          <w:ilvl w:val="0"/>
          <w:numId w:val="1"/>
        </w:numPr>
        <w:spacing w:after="200" w:line="276" w:lineRule="auto"/>
        <w:jc w:val="both"/>
        <w:rPr>
          <w:rFonts w:ascii="Arial Narrow" w:eastAsia="Arial" w:hAnsi="Arial Narrow"/>
        </w:rPr>
      </w:pPr>
      <w:r w:rsidRPr="0085038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850386" w:rsidRPr="00850386" w:rsidRDefault="00850386" w:rsidP="00850386">
      <w:pPr>
        <w:pStyle w:val="Odsekzoznamu"/>
        <w:ind w:left="681"/>
        <w:jc w:val="both"/>
        <w:rPr>
          <w:rFonts w:ascii="Arial Narrow" w:eastAsia="Arial" w:hAnsi="Arial Narrow"/>
        </w:rPr>
      </w:pPr>
    </w:p>
    <w:p w:rsidR="00850386" w:rsidRPr="00850386" w:rsidRDefault="00850386" w:rsidP="00850386">
      <w:pPr>
        <w:pStyle w:val="Odsekzoznamu"/>
        <w:numPr>
          <w:ilvl w:val="0"/>
          <w:numId w:val="1"/>
        </w:numPr>
        <w:spacing w:after="200" w:line="276" w:lineRule="auto"/>
        <w:jc w:val="both"/>
        <w:rPr>
          <w:rFonts w:ascii="Arial Narrow" w:eastAsia="Arial" w:hAnsi="Arial Narrow"/>
        </w:rPr>
      </w:pPr>
      <w:r w:rsidRPr="00850386">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850386" w:rsidRPr="00850386" w:rsidRDefault="00850386" w:rsidP="00850386">
      <w:pPr>
        <w:pStyle w:val="Odsekzoznamu"/>
        <w:rPr>
          <w:rFonts w:ascii="Arial Narrow" w:eastAsia="Arial" w:hAnsi="Arial Narrow"/>
        </w:rPr>
      </w:pPr>
    </w:p>
    <w:p w:rsidR="00850386" w:rsidRPr="00850386" w:rsidRDefault="00850386" w:rsidP="00850386">
      <w:pPr>
        <w:pStyle w:val="Odsekzoznamu"/>
        <w:numPr>
          <w:ilvl w:val="0"/>
          <w:numId w:val="1"/>
        </w:numPr>
        <w:spacing w:after="200" w:line="276" w:lineRule="auto"/>
        <w:jc w:val="both"/>
        <w:rPr>
          <w:rFonts w:ascii="Arial Narrow" w:eastAsia="Arial" w:hAnsi="Arial Narrow"/>
        </w:rPr>
      </w:pPr>
      <w:r w:rsidRPr="00850386">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850386" w:rsidRPr="00850386" w:rsidRDefault="00850386" w:rsidP="00850386">
      <w:pPr>
        <w:pStyle w:val="Odsekzoznamu"/>
        <w:ind w:left="681"/>
        <w:jc w:val="both"/>
        <w:rPr>
          <w:rFonts w:ascii="Arial Narrow" w:eastAsia="Arial" w:hAnsi="Arial Narrow"/>
        </w:rPr>
      </w:pPr>
    </w:p>
    <w:p w:rsidR="00850386" w:rsidRPr="00850386" w:rsidRDefault="00850386" w:rsidP="00850386">
      <w:pPr>
        <w:pStyle w:val="Odsekzoznamu"/>
        <w:numPr>
          <w:ilvl w:val="0"/>
          <w:numId w:val="1"/>
        </w:numPr>
        <w:spacing w:after="200" w:line="276" w:lineRule="auto"/>
        <w:jc w:val="both"/>
        <w:rPr>
          <w:rFonts w:ascii="Arial Narrow" w:eastAsia="Arial" w:hAnsi="Arial Narrow"/>
        </w:rPr>
      </w:pPr>
      <w:r w:rsidRPr="00850386">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850386" w:rsidRPr="00850386" w:rsidRDefault="00850386" w:rsidP="00850386">
      <w:pPr>
        <w:ind w:left="600" w:hanging="279"/>
        <w:jc w:val="both"/>
        <w:rPr>
          <w:rFonts w:ascii="Arial Narrow" w:eastAsia="Arial" w:hAnsi="Arial Narrow"/>
          <w:sz w:val="22"/>
          <w:szCs w:val="22"/>
          <w:lang w:val="sk-SK"/>
        </w:rPr>
      </w:pPr>
      <w:r w:rsidRPr="00850386">
        <w:rPr>
          <w:rFonts w:ascii="Arial Narrow" w:eastAsia="Arial" w:hAnsi="Arial Narrow"/>
          <w:sz w:val="22"/>
          <w:szCs w:val="22"/>
          <w:lang w:val="sk-SK"/>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rsidR="00A70268" w:rsidRDefault="00A70268" w:rsidP="00850386">
      <w:pPr>
        <w:autoSpaceDE w:val="0"/>
        <w:autoSpaceDN w:val="0"/>
        <w:adjustRightInd w:val="0"/>
        <w:jc w:val="both"/>
        <w:rPr>
          <w:rFonts w:ascii="Arial Narrow" w:hAnsi="Arial Narrow" w:cs="Tahoma"/>
          <w:sz w:val="22"/>
          <w:szCs w:val="22"/>
          <w:lang w:val="sk-SK"/>
        </w:rPr>
      </w:pPr>
    </w:p>
    <w:p w:rsidR="00850386" w:rsidRPr="00850386" w:rsidRDefault="00850386" w:rsidP="00850386">
      <w:pPr>
        <w:autoSpaceDE w:val="0"/>
        <w:autoSpaceDN w:val="0"/>
        <w:adjustRightInd w:val="0"/>
        <w:jc w:val="both"/>
        <w:rPr>
          <w:rFonts w:ascii="Arial Narrow" w:hAnsi="Arial Narrow" w:cs="Tahoma"/>
          <w:sz w:val="22"/>
          <w:szCs w:val="22"/>
          <w:lang w:val="sk-SK" w:eastAsia="sk-SK"/>
        </w:rPr>
      </w:pPr>
      <w:r w:rsidRPr="00850386">
        <w:rPr>
          <w:rFonts w:ascii="Arial Narrow" w:hAnsi="Arial Narrow" w:cs="Tahoma"/>
          <w:sz w:val="22"/>
          <w:szCs w:val="22"/>
          <w:lang w:val="sk-SK"/>
        </w:rPr>
        <w:t>Doklady, ktoré sa nepredkladajú:</w:t>
      </w:r>
    </w:p>
    <w:p w:rsidR="00850386" w:rsidRPr="00850386" w:rsidRDefault="00850386" w:rsidP="00850386">
      <w:pPr>
        <w:autoSpaceDE w:val="0"/>
        <w:autoSpaceDN w:val="0"/>
        <w:adjustRightInd w:val="0"/>
        <w:jc w:val="both"/>
        <w:rPr>
          <w:rFonts w:ascii="Arial Narrow" w:eastAsiaTheme="minorHAnsi" w:hAnsi="Arial Narrow" w:cs="Tahoma"/>
          <w:sz w:val="22"/>
          <w:szCs w:val="22"/>
          <w:lang w:val="sk-SK"/>
        </w:rPr>
      </w:pPr>
      <w:r w:rsidRPr="00850386">
        <w:rPr>
          <w:rFonts w:ascii="Arial Narrow" w:hAnsi="Arial Narrow" w:cs="Tahoma"/>
          <w:sz w:val="22"/>
          <w:szCs w:val="22"/>
          <w:lang w:val="sk-SK"/>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850386" w:rsidRPr="00850386" w:rsidRDefault="00850386" w:rsidP="00850386">
      <w:pPr>
        <w:pStyle w:val="Odsekzoznamu"/>
        <w:widowControl w:val="0"/>
        <w:tabs>
          <w:tab w:val="left" w:pos="0"/>
        </w:tabs>
        <w:spacing w:after="120" w:line="240" w:lineRule="exact"/>
        <w:ind w:hanging="360"/>
        <w:jc w:val="both"/>
        <w:rPr>
          <w:rFonts w:ascii="Arial Narrow" w:hAnsi="Arial Narrow" w:cs="Tahoma"/>
        </w:rPr>
      </w:pPr>
      <w:r w:rsidRPr="00850386">
        <w:rPr>
          <w:rFonts w:ascii="Arial Narrow" w:hAnsi="Arial Narrow" w:cs="Tahoma"/>
        </w:rPr>
        <w:t>-</w:t>
      </w:r>
      <w:r w:rsidRPr="00850386">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850386" w:rsidRPr="00850386" w:rsidRDefault="00850386" w:rsidP="00850386">
      <w:pPr>
        <w:pStyle w:val="Odsekzoznamu"/>
        <w:widowControl w:val="0"/>
        <w:tabs>
          <w:tab w:val="left" w:pos="0"/>
        </w:tabs>
        <w:spacing w:after="120" w:line="240" w:lineRule="exact"/>
        <w:ind w:hanging="360"/>
        <w:jc w:val="both"/>
        <w:rPr>
          <w:rFonts w:ascii="Arial Narrow" w:hAnsi="Arial Narrow" w:cs="Tahoma"/>
        </w:rPr>
      </w:pPr>
      <w:r w:rsidRPr="00850386">
        <w:rPr>
          <w:rFonts w:ascii="Arial Narrow" w:hAnsi="Arial Narrow" w:cs="Tahoma"/>
        </w:rPr>
        <w:t>-</w:t>
      </w:r>
      <w:r w:rsidRPr="00850386">
        <w:rPr>
          <w:rFonts w:ascii="Arial Narrow" w:hAnsi="Arial Narrow" w:cs="Tahoma"/>
        </w:rPr>
        <w:tab/>
        <w:t>potvrdenia zdravotnej poisťovne a Sociálnej poisťovne podľa § 32 ods. 1 písm. b) a  ods. 2 písm. b) zákona,</w:t>
      </w:r>
    </w:p>
    <w:p w:rsidR="00850386" w:rsidRPr="00850386" w:rsidRDefault="00850386" w:rsidP="00850386">
      <w:pPr>
        <w:pStyle w:val="Odsekzoznamu"/>
        <w:widowControl w:val="0"/>
        <w:tabs>
          <w:tab w:val="left" w:pos="0"/>
        </w:tabs>
        <w:spacing w:after="120" w:line="240" w:lineRule="exact"/>
        <w:ind w:hanging="360"/>
        <w:jc w:val="both"/>
        <w:rPr>
          <w:rFonts w:ascii="Arial Narrow" w:hAnsi="Arial Narrow" w:cs="Tahoma"/>
        </w:rPr>
      </w:pPr>
      <w:r w:rsidRPr="00850386">
        <w:rPr>
          <w:rFonts w:ascii="Arial Narrow" w:hAnsi="Arial Narrow" w:cs="Tahoma"/>
        </w:rPr>
        <w:t>-</w:t>
      </w:r>
      <w:r w:rsidRPr="00850386">
        <w:rPr>
          <w:rFonts w:ascii="Arial Narrow" w:hAnsi="Arial Narrow" w:cs="Tahoma"/>
        </w:rPr>
        <w:tab/>
        <w:t>potvrdenia miestne príslušného daňového úradu a miestne príslušného colného úradu podľa § 32 ods. 1 písm. c) a ods. 2 písm. c) zákona,</w:t>
      </w:r>
    </w:p>
    <w:p w:rsidR="00850386" w:rsidRPr="00850386" w:rsidRDefault="00850386" w:rsidP="00850386">
      <w:pPr>
        <w:pStyle w:val="Odsekzoznamu"/>
        <w:widowControl w:val="0"/>
        <w:tabs>
          <w:tab w:val="left" w:pos="0"/>
        </w:tabs>
        <w:spacing w:after="120" w:line="240" w:lineRule="exact"/>
        <w:ind w:hanging="360"/>
        <w:jc w:val="both"/>
        <w:rPr>
          <w:rFonts w:ascii="Arial Narrow" w:hAnsi="Arial Narrow" w:cs="Tahoma"/>
        </w:rPr>
      </w:pPr>
      <w:r w:rsidRPr="00850386">
        <w:rPr>
          <w:rFonts w:ascii="Arial Narrow" w:hAnsi="Arial Narrow" w:cs="Tahoma"/>
        </w:rPr>
        <w:t>-</w:t>
      </w:r>
      <w:r w:rsidRPr="00850386">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850386" w:rsidRPr="00850386" w:rsidRDefault="00850386" w:rsidP="00850386">
      <w:pPr>
        <w:autoSpaceDE w:val="0"/>
        <w:autoSpaceDN w:val="0"/>
        <w:adjustRightInd w:val="0"/>
        <w:jc w:val="both"/>
        <w:rPr>
          <w:rFonts w:ascii="Arial Narrow" w:hAnsi="Arial Narrow" w:cs="Tahoma"/>
          <w:b/>
          <w:color w:val="FF0000"/>
          <w:sz w:val="22"/>
          <w:szCs w:val="22"/>
          <w:lang w:val="sk-SK"/>
        </w:rPr>
      </w:pPr>
      <w:r w:rsidRPr="00850386">
        <w:rPr>
          <w:rFonts w:ascii="Arial Narrow" w:hAnsi="Arial Narrow" w:cs="Tahoma"/>
          <w:b/>
          <w:color w:val="FF0000"/>
          <w:sz w:val="22"/>
          <w:szCs w:val="22"/>
          <w:lang w:val="sk-SK"/>
        </w:rPr>
        <w:t>Upozornenie:</w:t>
      </w:r>
    </w:p>
    <w:p w:rsidR="00850386" w:rsidRPr="00850386" w:rsidRDefault="00850386" w:rsidP="00850386">
      <w:pPr>
        <w:pStyle w:val="Zkladntext"/>
        <w:spacing w:line="240" w:lineRule="auto"/>
        <w:jc w:val="both"/>
        <w:rPr>
          <w:rStyle w:val="Jemnzvraznenie"/>
          <w:rFonts w:ascii="Arial Narrow" w:hAnsi="Arial Narrow" w:cs="Arial"/>
          <w:b w:val="0"/>
          <w:iCs/>
          <w:sz w:val="22"/>
        </w:rPr>
      </w:pPr>
      <w:r w:rsidRPr="00850386">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850386" w:rsidRPr="00850386" w:rsidRDefault="00850386" w:rsidP="00850386">
      <w:pPr>
        <w:spacing w:after="120"/>
        <w:jc w:val="both"/>
        <w:rPr>
          <w:rStyle w:val="Jemnzvraznenie"/>
          <w:rFonts w:ascii="Arial Narrow" w:hAnsi="Arial Narrow"/>
          <w:b w:val="0"/>
          <w:iCs/>
          <w:sz w:val="22"/>
          <w:szCs w:val="22"/>
          <w:lang w:val="sk-SK"/>
        </w:rPr>
      </w:pPr>
      <w:r w:rsidRPr="00850386">
        <w:rPr>
          <w:rStyle w:val="Jemnzvraznenie"/>
          <w:rFonts w:ascii="Arial Narrow" w:hAnsi="Arial Narrow"/>
          <w:iCs/>
          <w:sz w:val="22"/>
          <w:szCs w:val="22"/>
          <w:lang w:val="sk-SK"/>
        </w:rPr>
        <w:t xml:space="preserve">Preukazovanie podmienok účasti je voči verejnému obstarávateľovi účinné aj spôsobom podľa § 152 ods. 4 zákona. </w:t>
      </w:r>
    </w:p>
    <w:p w:rsidR="00850386" w:rsidRPr="00850386" w:rsidRDefault="00850386" w:rsidP="00850386">
      <w:pPr>
        <w:jc w:val="both"/>
        <w:rPr>
          <w:rFonts w:ascii="Arial Narrow" w:hAnsi="Arial Narrow"/>
          <w:sz w:val="22"/>
          <w:szCs w:val="22"/>
          <w:lang w:val="sk-SK"/>
        </w:rPr>
      </w:pPr>
      <w:r w:rsidRPr="00850386">
        <w:rPr>
          <w:rFonts w:ascii="Arial Narrow" w:hAnsi="Arial Narrow"/>
          <w:sz w:val="22"/>
          <w:szCs w:val="22"/>
          <w:lang w:val="sk-SK"/>
        </w:rPr>
        <w:t xml:space="preserve">Uchádzač zapísaný v zozname hospodárskych subjektov podľa zákona nie je povinný v procese verejného obstarávania predkladať doklady podľa § 32 ods. 2 zákona – prostredníctvom zápisu do zoznamu hospodárskych subjektov. </w:t>
      </w:r>
    </w:p>
    <w:p w:rsidR="00850386" w:rsidRPr="00850386" w:rsidRDefault="00850386" w:rsidP="00850386">
      <w:pPr>
        <w:autoSpaceDE w:val="0"/>
        <w:autoSpaceDN w:val="0"/>
        <w:adjustRightInd w:val="0"/>
        <w:spacing w:after="120"/>
        <w:jc w:val="both"/>
        <w:rPr>
          <w:rFonts w:ascii="Arial Narrow" w:hAnsi="Arial Narrow"/>
          <w:sz w:val="22"/>
          <w:szCs w:val="22"/>
          <w:lang w:val="sk-SK"/>
        </w:rPr>
      </w:pPr>
      <w:r w:rsidRPr="00850386">
        <w:rPr>
          <w:rFonts w:ascii="Arial Narrow" w:hAnsi="Arial Narrow"/>
          <w:sz w:val="22"/>
          <w:szCs w:val="22"/>
          <w:lang w:val="sk-SK"/>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850386" w:rsidRPr="00850386" w:rsidRDefault="00850386" w:rsidP="00850386">
      <w:pPr>
        <w:jc w:val="both"/>
        <w:rPr>
          <w:rFonts w:ascii="Arial Narrow" w:hAnsi="Arial Narrow"/>
          <w:sz w:val="22"/>
          <w:szCs w:val="22"/>
          <w:lang w:val="sk-SK"/>
        </w:rPr>
      </w:pPr>
      <w:r w:rsidRPr="00850386">
        <w:rPr>
          <w:rFonts w:ascii="Arial Narrow" w:hAnsi="Arial Narrow"/>
          <w:sz w:val="22"/>
          <w:szCs w:val="22"/>
          <w:lang w:val="sk-SK"/>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A90DA0" w:rsidRPr="00816DC6" w:rsidRDefault="00A90DA0">
      <w:pPr>
        <w:pStyle w:val="Predvolen"/>
        <w:spacing w:before="0"/>
        <w:jc w:val="both"/>
        <w:rPr>
          <w:rFonts w:ascii="Arial Narrow" w:eastAsia="Arial Narrow" w:hAnsi="Arial Narrow" w:cs="Arial Narrow"/>
          <w:color w:val="auto"/>
          <w:shd w:val="clear" w:color="auto" w:fill="FFFFFF"/>
        </w:rPr>
      </w:pPr>
    </w:p>
    <w:p w:rsidR="00A70268" w:rsidRDefault="00A70268">
      <w:pPr>
        <w:pStyle w:val="Nadpis2"/>
        <w:rPr>
          <w:rFonts w:ascii="Arial Narrow" w:hAnsi="Arial Narrow"/>
          <w:color w:val="auto"/>
          <w:sz w:val="22"/>
          <w:szCs w:val="22"/>
        </w:rPr>
      </w:pPr>
    </w:p>
    <w:p w:rsidR="00A90DA0" w:rsidRPr="00850386" w:rsidRDefault="00A63E99">
      <w:pPr>
        <w:pStyle w:val="Nadpis2"/>
        <w:rPr>
          <w:rFonts w:ascii="Arial Narrow" w:eastAsia="Arial Narrow" w:hAnsi="Arial Narrow" w:cs="Arial Narrow"/>
          <w:color w:val="auto"/>
          <w:sz w:val="22"/>
          <w:szCs w:val="22"/>
        </w:rPr>
      </w:pPr>
      <w:r w:rsidRPr="00850386">
        <w:rPr>
          <w:rFonts w:ascii="Arial Narrow" w:hAnsi="Arial Narrow"/>
          <w:color w:val="auto"/>
          <w:sz w:val="22"/>
          <w:szCs w:val="22"/>
        </w:rPr>
        <w:t>Ekonomické a finančné postavenie v zmysle ustanovenia § 33 zákona</w:t>
      </w:r>
    </w:p>
    <w:p w:rsidR="00A90DA0" w:rsidRPr="00850386" w:rsidRDefault="00A63E99">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Nevyžaduje sa.</w:t>
      </w:r>
    </w:p>
    <w:p w:rsidR="00A90DA0" w:rsidRPr="00850386" w:rsidRDefault="00A90DA0">
      <w:pPr>
        <w:pStyle w:val="Predvolen"/>
        <w:spacing w:before="0"/>
        <w:jc w:val="both"/>
        <w:rPr>
          <w:rFonts w:ascii="Arial Narrow" w:eastAsia="Arial Narrow" w:hAnsi="Arial Narrow" w:cs="Arial Narrow"/>
          <w:color w:val="auto"/>
          <w:sz w:val="22"/>
          <w:szCs w:val="22"/>
          <w:shd w:val="clear" w:color="auto" w:fill="FFFFFF"/>
        </w:rPr>
      </w:pPr>
    </w:p>
    <w:p w:rsidR="00A70268" w:rsidRDefault="00A70268">
      <w:pPr>
        <w:pStyle w:val="Tmavpopis"/>
        <w:tabs>
          <w:tab w:val="left" w:pos="920"/>
          <w:tab w:val="left" w:pos="1840"/>
          <w:tab w:val="left" w:pos="2760"/>
          <w:tab w:val="left" w:pos="3680"/>
          <w:tab w:val="left" w:pos="4600"/>
          <w:tab w:val="left" w:pos="5520"/>
          <w:tab w:val="left" w:pos="6440"/>
          <w:tab w:val="left" w:pos="7360"/>
          <w:tab w:val="left" w:pos="8280"/>
          <w:tab w:val="left" w:pos="9200"/>
        </w:tabs>
        <w:jc w:val="left"/>
        <w:rPr>
          <w:rFonts w:ascii="Arial Narrow" w:hAnsi="Arial Narrow"/>
          <w:b/>
          <w:bCs/>
          <w:color w:val="auto"/>
          <w:sz w:val="22"/>
          <w:szCs w:val="22"/>
        </w:rPr>
      </w:pPr>
    </w:p>
    <w:p w:rsidR="00A90DA0" w:rsidRPr="00850386" w:rsidRDefault="00A63E99">
      <w:pPr>
        <w:pStyle w:val="Tmavpopis"/>
        <w:tabs>
          <w:tab w:val="left" w:pos="920"/>
          <w:tab w:val="left" w:pos="1840"/>
          <w:tab w:val="left" w:pos="2760"/>
          <w:tab w:val="left" w:pos="3680"/>
          <w:tab w:val="left" w:pos="4600"/>
          <w:tab w:val="left" w:pos="5520"/>
          <w:tab w:val="left" w:pos="6440"/>
          <w:tab w:val="left" w:pos="7360"/>
          <w:tab w:val="left" w:pos="8280"/>
          <w:tab w:val="left" w:pos="9200"/>
        </w:tabs>
        <w:jc w:val="left"/>
        <w:rPr>
          <w:rFonts w:ascii="Arial Narrow" w:eastAsia="Arial Narrow" w:hAnsi="Arial Narrow" w:cs="Arial Narrow"/>
          <w:b/>
          <w:bCs/>
          <w:color w:val="auto"/>
          <w:sz w:val="22"/>
          <w:szCs w:val="22"/>
        </w:rPr>
      </w:pPr>
      <w:bookmarkStart w:id="0" w:name="_GoBack"/>
      <w:bookmarkEnd w:id="0"/>
      <w:r w:rsidRPr="00850386">
        <w:rPr>
          <w:rFonts w:ascii="Arial Narrow" w:hAnsi="Arial Narrow"/>
          <w:b/>
          <w:bCs/>
          <w:color w:val="auto"/>
          <w:sz w:val="22"/>
          <w:szCs w:val="22"/>
        </w:rPr>
        <w:lastRenderedPageBreak/>
        <w:t>Technická a odborná spôsobilosť v zmysle ustanovenia § 34 zákona</w:t>
      </w:r>
    </w:p>
    <w:p w:rsidR="00A90DA0" w:rsidRPr="00850386" w:rsidRDefault="00A63E99">
      <w:pPr>
        <w:pStyle w:val="Tmavpopis"/>
        <w:tabs>
          <w:tab w:val="left" w:pos="920"/>
          <w:tab w:val="left" w:pos="1840"/>
          <w:tab w:val="left" w:pos="2760"/>
          <w:tab w:val="left" w:pos="3680"/>
          <w:tab w:val="left" w:pos="4600"/>
          <w:tab w:val="left" w:pos="5520"/>
          <w:tab w:val="left" w:pos="6440"/>
          <w:tab w:val="left" w:pos="7360"/>
          <w:tab w:val="left" w:pos="8280"/>
          <w:tab w:val="left" w:pos="9200"/>
        </w:tabs>
        <w:jc w:val="left"/>
        <w:rPr>
          <w:rFonts w:ascii="Arial Narrow" w:eastAsia="Arial Narrow" w:hAnsi="Arial Narrow" w:cs="Arial Narrow"/>
          <w:color w:val="auto"/>
          <w:sz w:val="22"/>
          <w:szCs w:val="22"/>
        </w:rPr>
      </w:pPr>
      <w:r w:rsidRPr="00850386">
        <w:rPr>
          <w:rFonts w:ascii="Arial Narrow" w:hAnsi="Arial Narrow"/>
          <w:color w:val="auto"/>
          <w:sz w:val="22"/>
          <w:szCs w:val="22"/>
        </w:rPr>
        <w:t>Zoznam a krátky opis podmienok:</w:t>
      </w: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Podľa § 34 ods.1 písm. a) zákona verejný obstarávateľ požaduje predložiť zoznam poskytnutých služieb za predchádzajúce 3 roky od vyhlásenia verejného obstarávania s uvedením cien, lehôt dodania a odberateľov; dokladom je referencia, ak odberateľom bol verejný obstarávateľ alebo obstarávateľ podľa zákona.</w:t>
      </w: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Za vyhlásenie verejného obstarávania sa považuje zverejnenie oznámenia o vyhlásení verejného obstarávania v Úradnom vestníku Európskej únie. Uchádzač môže na preukázanie technickej alebo odbornej spôsobilosti využiť technické alebo odborné kapacity inej osoby, bez ohľadu na ich právny vzťah v čase podania ponuky. V takom prípade musí uchádzač verejnému obstarávateľovi preukázať, že pri plnení kúpnej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dodávať tovar preukazuje vo vzťahu k predmetu zákazky.</w:t>
      </w: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V prípade, že sa verejného obstarávania zúčastní skupina dodávateľov, požaduje sa preukázanie splnenia podmienok účasti týkajúcich sa technickej alebo odbornej spôsobilosti za všetkých členov skupiny spoločne.</w:t>
      </w: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w:t>
      </w: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Hospodársky subjekt môže predbežne nahradiť doklady na preukázanie splnenia podmienok účasti jednotným</w:t>
      </w: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európskym dokumentom podľa § 39 ods. 1 zákona.</w:t>
      </w:r>
    </w:p>
    <w:p w:rsidR="00A90DA0" w:rsidRPr="00850386" w:rsidRDefault="00A90DA0" w:rsidP="00A70268">
      <w:pPr>
        <w:pStyle w:val="Predvolen"/>
        <w:spacing w:before="0"/>
        <w:jc w:val="both"/>
        <w:rPr>
          <w:rFonts w:ascii="Arial Narrow" w:eastAsia="Arial Narrow" w:hAnsi="Arial Narrow" w:cs="Arial Narrow"/>
          <w:color w:val="auto"/>
          <w:sz w:val="22"/>
          <w:szCs w:val="22"/>
          <w:shd w:val="clear" w:color="auto" w:fill="FFFFFF"/>
        </w:rPr>
      </w:pP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Minimálna požadovaná úroveň štandardov: Splnenie vyššie uvedeného uchádzač preukáže predložením zoznamu poskytnutých služieb za predchádzajúce tri roky odo dňa vyhlásenia predmetného verejného obstarávania, potvrdzujúce poskytnutie služby rovnakého alebo obdobného charakteru ako je predmet zákazky, ktorým preukáže, že za rozhodné obdobie realizoval služby v celkovej hodnote spolu:</w:t>
      </w: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pre časť 1 -  50 000 € bez DPH.,</w:t>
      </w: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pre časť 2 - 30 000 € bez DPH,</w:t>
      </w: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pre časť 3 -  50 000 € bez DPH</w:t>
      </w:r>
      <w:r w:rsidR="00B46AA2" w:rsidRPr="00850386">
        <w:rPr>
          <w:rFonts w:ascii="Arial Narrow" w:hAnsi="Arial Narrow"/>
          <w:color w:val="auto"/>
          <w:sz w:val="22"/>
          <w:szCs w:val="22"/>
          <w:shd w:val="clear" w:color="auto" w:fill="FFFFFF"/>
        </w:rPr>
        <w:t>.</w:t>
      </w: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 xml:space="preserve">Rovnakým alebo obdobným charakterom zákazky sa rozumie poskytovanie služieb servisu, opráv, revízií alebo iných obdobných služieb, ktorých predmetom bola potápačská technika, </w:t>
      </w:r>
      <w:r w:rsidR="00B46AA2" w:rsidRPr="00850386">
        <w:rPr>
          <w:rFonts w:ascii="Arial Narrow" w:hAnsi="Arial Narrow"/>
          <w:color w:val="auto"/>
          <w:sz w:val="22"/>
          <w:szCs w:val="22"/>
          <w:shd w:val="clear" w:color="auto" w:fill="FFFFFF"/>
        </w:rPr>
        <w:t xml:space="preserve">potápačské </w:t>
      </w:r>
      <w:r w:rsidRPr="00850386">
        <w:rPr>
          <w:rFonts w:ascii="Arial Narrow" w:hAnsi="Arial Narrow"/>
          <w:color w:val="auto"/>
          <w:sz w:val="22"/>
          <w:szCs w:val="22"/>
          <w:shd w:val="clear" w:color="auto" w:fill="FFFFFF"/>
        </w:rPr>
        <w:t>materiály a podobne.</w:t>
      </w:r>
    </w:p>
    <w:p w:rsidR="00A90DA0" w:rsidRPr="00850386" w:rsidRDefault="00A90DA0" w:rsidP="00A70268">
      <w:pPr>
        <w:pStyle w:val="Predvolen"/>
        <w:spacing w:before="0"/>
        <w:jc w:val="both"/>
        <w:rPr>
          <w:rFonts w:ascii="Arial Narrow" w:eastAsia="Arial Narrow" w:hAnsi="Arial Narrow" w:cs="Arial Narrow"/>
          <w:color w:val="auto"/>
          <w:sz w:val="22"/>
          <w:szCs w:val="22"/>
          <w:shd w:val="clear" w:color="auto" w:fill="FFFFFF"/>
        </w:rPr>
      </w:pP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Pri prepočte inej meny na menu euro sa použije kurz Európskej centrálnej banky platný v deň odoslania tohto</w:t>
      </w: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oznámenia o vyhlásení verejného obstarávania na uverejnenie v Úradnom vestníku EÚ.</w:t>
      </w: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Zo zoznamu poskytnutých služieb predloženého uchádzačom musia vyplývať vyššie uvedené požiadavky, a to tak po formálnej ako aj obsahovej stránke (najmä: názov/obchodné meno, sídlo/miesto podnikania odberateľa, predmet zmluvy/plnenia - stručný opis predmetu plnenia, hodnota tovaru v EUR bez DPH, skutočná lehota dodania, kontaktná osoba za odberateľa - meno, priezvisko, pozícia, aktuálne telefónne číslo, e-mail za účelom prípadného overenia predkladaných informácií).</w:t>
      </w:r>
    </w:p>
    <w:p w:rsidR="00A90DA0" w:rsidRPr="00850386" w:rsidRDefault="00A63E99" w:rsidP="00A70268">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Ak odberateľom bol verejný obstarávateľ alebo obstarávateľ podľa tohto zákona, súčasťou zoznamu musia byť</w:t>
      </w:r>
    </w:p>
    <w:p w:rsidR="00A90DA0" w:rsidRPr="00850386" w:rsidRDefault="00A63E99" w:rsidP="00A70268">
      <w:pPr>
        <w:pStyle w:val="Predvolen"/>
        <w:spacing w:before="0"/>
        <w:jc w:val="both"/>
        <w:rPr>
          <w:color w:val="auto"/>
          <w:sz w:val="22"/>
          <w:szCs w:val="22"/>
        </w:rPr>
      </w:pPr>
      <w:r w:rsidRPr="00850386">
        <w:rPr>
          <w:rFonts w:ascii="Arial Narrow" w:hAnsi="Arial Narrow"/>
          <w:color w:val="auto"/>
          <w:sz w:val="22"/>
          <w:szCs w:val="22"/>
          <w:shd w:val="clear" w:color="auto" w:fill="FFFFFF"/>
        </w:rPr>
        <w:t>referencia/referencie alebo ekvivalentný/ekvivalentné doklad/doklady v súlade so zákonom.</w:t>
      </w:r>
    </w:p>
    <w:sectPr w:rsidR="00A90DA0" w:rsidRPr="00850386">
      <w:head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CA5" w:rsidRDefault="00076CA5">
      <w:r>
        <w:separator/>
      </w:r>
    </w:p>
  </w:endnote>
  <w:endnote w:type="continuationSeparator" w:id="0">
    <w:p w:rsidR="00076CA5" w:rsidRDefault="0007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Neue Medium">
    <w:charset w:val="00"/>
    <w:family w:val="roman"/>
    <w:pitch w:val="default"/>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CA5" w:rsidRDefault="00076CA5">
      <w:r>
        <w:separator/>
      </w:r>
    </w:p>
  </w:footnote>
  <w:footnote w:type="continuationSeparator" w:id="0">
    <w:p w:rsidR="00076CA5" w:rsidRDefault="00076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51" w:type="dxa"/>
      <w:tblInd w:w="5750" w:type="dxa"/>
      <w:tblCellMar>
        <w:right w:w="0" w:type="dxa"/>
      </w:tblCellMar>
      <w:tblLook w:val="04A0" w:firstRow="1" w:lastRow="0" w:firstColumn="1" w:lastColumn="0" w:noHBand="0" w:noVBand="1"/>
    </w:tblPr>
    <w:tblGrid>
      <w:gridCol w:w="6551"/>
    </w:tblGrid>
    <w:tr w:rsidR="009E42DF" w:rsidRPr="005C5742" w:rsidTr="0020058A">
      <w:trPr>
        <w:trHeight w:val="93"/>
      </w:trPr>
      <w:tc>
        <w:tcPr>
          <w:tcW w:w="6551" w:type="dxa"/>
          <w:shd w:val="clear" w:color="auto" w:fill="auto"/>
        </w:tcPr>
        <w:p w:rsidR="009E42DF" w:rsidRPr="005C5742" w:rsidRDefault="009E42DF" w:rsidP="009E42DF">
          <w:pPr>
            <w:ind w:right="113"/>
            <w:rPr>
              <w:sz w:val="22"/>
            </w:rPr>
          </w:pPr>
          <w:r>
            <w:rPr>
              <w:noProof/>
              <w:lang w:val="sk-SK" w:eastAsia="sk-SK"/>
            </w:rPr>
            <w:drawing>
              <wp:anchor distT="0" distB="0" distL="114300" distR="114300" simplePos="0" relativeHeight="251659264" behindDoc="1" locked="0" layoutInCell="1" allowOverlap="1" wp14:anchorId="7885113E" wp14:editId="23F37C13">
                <wp:simplePos x="0" y="0"/>
                <wp:positionH relativeFrom="column">
                  <wp:posOffset>-3555365</wp:posOffset>
                </wp:positionH>
                <wp:positionV relativeFrom="paragraph">
                  <wp:posOffset>-232410</wp:posOffset>
                </wp:positionV>
                <wp:extent cx="5760720" cy="638810"/>
                <wp:effectExtent l="0" t="0" r="0" b="8890"/>
                <wp:wrapNone/>
                <wp:docPr id="11" name="Obrázok 1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8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5742">
            <w:rPr>
              <w:sz w:val="22"/>
            </w:rPr>
            <w:t>SEKCIA EKONOMIKY</w:t>
          </w:r>
        </w:p>
        <w:p w:rsidR="009E42DF" w:rsidRPr="005C5742" w:rsidRDefault="009E42DF" w:rsidP="009E42DF">
          <w:pPr>
            <w:ind w:right="113"/>
            <w:rPr>
              <w:sz w:val="22"/>
            </w:rPr>
          </w:pPr>
          <w:proofErr w:type="spellStart"/>
          <w:r w:rsidRPr="005C5742">
            <w:rPr>
              <w:sz w:val="22"/>
            </w:rPr>
            <w:t>odbor</w:t>
          </w:r>
          <w:proofErr w:type="spellEnd"/>
          <w:r w:rsidRPr="005C5742">
            <w:rPr>
              <w:sz w:val="22"/>
            </w:rPr>
            <w:t xml:space="preserve"> </w:t>
          </w:r>
          <w:proofErr w:type="spellStart"/>
          <w:r w:rsidRPr="005C5742">
            <w:rPr>
              <w:sz w:val="22"/>
            </w:rPr>
            <w:t>verejného</w:t>
          </w:r>
          <w:proofErr w:type="spellEnd"/>
          <w:r w:rsidRPr="005C5742">
            <w:rPr>
              <w:sz w:val="22"/>
            </w:rPr>
            <w:t xml:space="preserve"> </w:t>
          </w:r>
          <w:proofErr w:type="spellStart"/>
          <w:r w:rsidRPr="005C5742">
            <w:rPr>
              <w:sz w:val="22"/>
            </w:rPr>
            <w:t>obstarávania</w:t>
          </w:r>
          <w:proofErr w:type="spellEnd"/>
          <w:r w:rsidRPr="005C5742">
            <w:rPr>
              <w:sz w:val="22"/>
            </w:rPr>
            <w:t xml:space="preserve">    </w:t>
          </w:r>
        </w:p>
      </w:tc>
    </w:tr>
    <w:tr w:rsidR="009E42DF" w:rsidRPr="005C5742" w:rsidTr="0020058A">
      <w:trPr>
        <w:trHeight w:val="93"/>
      </w:trPr>
      <w:tc>
        <w:tcPr>
          <w:tcW w:w="6551" w:type="dxa"/>
          <w:shd w:val="clear" w:color="auto" w:fill="auto"/>
        </w:tcPr>
        <w:p w:rsidR="009E42DF" w:rsidRPr="005C5742" w:rsidRDefault="009E42DF" w:rsidP="009E42DF">
          <w:pPr>
            <w:pStyle w:val="Hlavika"/>
            <w:tabs>
              <w:tab w:val="center" w:pos="-142"/>
              <w:tab w:val="right" w:pos="9356"/>
            </w:tabs>
            <w:ind w:right="113"/>
          </w:pPr>
          <w:proofErr w:type="spellStart"/>
          <w:r w:rsidRPr="005C5742">
            <w:t>Pribinova</w:t>
          </w:r>
          <w:proofErr w:type="spellEnd"/>
          <w:r w:rsidRPr="005C5742">
            <w:t xml:space="preserve"> 2, 812 72 Bratislava</w:t>
          </w:r>
        </w:p>
      </w:tc>
    </w:tr>
  </w:tbl>
  <w:p w:rsidR="00A90DA0" w:rsidRDefault="00A90D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DA0"/>
    <w:rsid w:val="00076CA5"/>
    <w:rsid w:val="00816DC6"/>
    <w:rsid w:val="00850386"/>
    <w:rsid w:val="009E42DF"/>
    <w:rsid w:val="00A63E99"/>
    <w:rsid w:val="00A70268"/>
    <w:rsid w:val="00A90DA0"/>
    <w:rsid w:val="00B46AA2"/>
    <w:rsid w:val="00EB41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3B1CD-ADF1-4599-AD8D-3271BC473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sz w:val="24"/>
      <w:szCs w:val="24"/>
      <w:lang w:val="en-US" w:eastAsia="en-US"/>
    </w:rPr>
  </w:style>
  <w:style w:type="paragraph" w:styleId="Nadpis2">
    <w:name w:val="heading 2"/>
    <w:next w:val="Telo"/>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redvolen">
    <w:name w:val="Predvolené"/>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lo">
    <w:name w:val="Telo"/>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mavpopis">
    <w:name w:val="Tmavý popis"/>
    <w:pPr>
      <w:keepLines/>
      <w:jc w:val="center"/>
    </w:pPr>
    <w:rPr>
      <w:rFonts w:ascii="Helvetica Neue Medium" w:hAnsi="Helvetica Neue Medium" w:cs="Arial Unicode MS"/>
      <w:color w:val="000000"/>
      <w:sz w:val="24"/>
      <w:szCs w:val="24"/>
      <w14:textOutline w14:w="0" w14:cap="flat" w14:cmpd="sng" w14:algn="ctr">
        <w14:noFill/>
        <w14:prstDash w14:val="solid"/>
        <w14:bevel/>
      </w14:textOutline>
    </w:rPr>
  </w:style>
  <w:style w:type="paragraph" w:styleId="Hlavika">
    <w:name w:val="header"/>
    <w:basedOn w:val="Normlny"/>
    <w:link w:val="HlavikaChar"/>
    <w:uiPriority w:val="99"/>
    <w:unhideWhenUsed/>
    <w:rsid w:val="009E42DF"/>
    <w:pPr>
      <w:tabs>
        <w:tab w:val="center" w:pos="4536"/>
        <w:tab w:val="right" w:pos="9072"/>
      </w:tabs>
    </w:pPr>
  </w:style>
  <w:style w:type="character" w:customStyle="1" w:styleId="HlavikaChar">
    <w:name w:val="Hlavička Char"/>
    <w:basedOn w:val="Predvolenpsmoodseku"/>
    <w:link w:val="Hlavika"/>
    <w:uiPriority w:val="99"/>
    <w:rsid w:val="009E42DF"/>
    <w:rPr>
      <w:sz w:val="24"/>
      <w:szCs w:val="24"/>
      <w:lang w:val="en-US" w:eastAsia="en-US"/>
    </w:rPr>
  </w:style>
  <w:style w:type="paragraph" w:styleId="Pta">
    <w:name w:val="footer"/>
    <w:basedOn w:val="Normlny"/>
    <w:link w:val="PtaChar"/>
    <w:uiPriority w:val="99"/>
    <w:unhideWhenUsed/>
    <w:rsid w:val="009E42DF"/>
    <w:pPr>
      <w:tabs>
        <w:tab w:val="center" w:pos="4536"/>
        <w:tab w:val="right" w:pos="9072"/>
      </w:tabs>
    </w:pPr>
  </w:style>
  <w:style w:type="character" w:customStyle="1" w:styleId="PtaChar">
    <w:name w:val="Päta Char"/>
    <w:basedOn w:val="Predvolenpsmoodseku"/>
    <w:link w:val="Pta"/>
    <w:uiPriority w:val="99"/>
    <w:rsid w:val="009E42DF"/>
    <w:rPr>
      <w:sz w:val="24"/>
      <w:szCs w:val="24"/>
      <w:lang w:val="en-US" w:eastAsia="en-US"/>
    </w:rPr>
  </w:style>
  <w:style w:type="character" w:styleId="Jemnzvraznenie">
    <w:name w:val="Subtle Emphasis"/>
    <w:aliases w:val="klasika"/>
    <w:uiPriority w:val="19"/>
    <w:qFormat/>
    <w:rsid w:val="00850386"/>
    <w:rPr>
      <w:rFonts w:ascii="Times New Roman" w:hAnsi="Times New Roman" w:cs="Times New Roman"/>
      <w:b/>
      <w:color w:val="auto"/>
      <w:sz w:val="30"/>
    </w:rPr>
  </w:style>
  <w:style w:type="paragraph" w:styleId="Odsekzoznamu">
    <w:name w:val="List Paragraph"/>
    <w:aliases w:val="body,List Paragraph"/>
    <w:basedOn w:val="Normlny"/>
    <w:link w:val="OdsekzoznamuChar"/>
    <w:uiPriority w:val="34"/>
    <w:qFormat/>
    <w:rsid w:val="0085038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Times New Roman" w:hAnsi="Calibri"/>
      <w:sz w:val="22"/>
      <w:szCs w:val="22"/>
      <w:bdr w:val="none" w:sz="0" w:space="0" w:color="auto"/>
      <w:lang w:val="sk-SK"/>
    </w:rPr>
  </w:style>
  <w:style w:type="paragraph" w:styleId="Zkladntext">
    <w:name w:val="Body Text"/>
    <w:basedOn w:val="Normlny"/>
    <w:link w:val="ZkladntextChar"/>
    <w:uiPriority w:val="99"/>
    <w:unhideWhenUsed/>
    <w:rsid w:val="00850386"/>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pPr>
    <w:rPr>
      <w:rFonts w:ascii="Calibri" w:eastAsia="Times New Roman" w:hAnsi="Calibri"/>
      <w:sz w:val="22"/>
      <w:szCs w:val="22"/>
      <w:bdr w:val="none" w:sz="0" w:space="0" w:color="auto"/>
      <w:lang w:val="sk-SK"/>
    </w:rPr>
  </w:style>
  <w:style w:type="character" w:customStyle="1" w:styleId="ZkladntextChar">
    <w:name w:val="Základný text Char"/>
    <w:basedOn w:val="Predvolenpsmoodseku"/>
    <w:link w:val="Zkladntext"/>
    <w:uiPriority w:val="99"/>
    <w:rsid w:val="00850386"/>
    <w:rPr>
      <w:rFonts w:ascii="Calibri" w:eastAsia="Times New Roman" w:hAnsi="Calibri"/>
      <w:sz w:val="22"/>
      <w:szCs w:val="22"/>
      <w:bdr w:val="none" w:sz="0" w:space="0" w:color="auto"/>
      <w:lang w:eastAsia="en-US"/>
    </w:rPr>
  </w:style>
  <w:style w:type="character" w:customStyle="1" w:styleId="OdsekzoznamuChar">
    <w:name w:val="Odsek zoznamu Char"/>
    <w:aliases w:val="body Char,List Paragraph Char"/>
    <w:link w:val="Odsekzoznamu"/>
    <w:uiPriority w:val="34"/>
    <w:locked/>
    <w:rsid w:val="00850386"/>
    <w:rPr>
      <w:rFonts w:ascii="Calibri" w:eastAsia="Times New Roman" w:hAnsi="Calibr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1697</Words>
  <Characters>9673</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Tamara Bečárová</cp:lastModifiedBy>
  <cp:revision>5</cp:revision>
  <dcterms:created xsi:type="dcterms:W3CDTF">2020-10-27T09:46:00Z</dcterms:created>
  <dcterms:modified xsi:type="dcterms:W3CDTF">2020-11-13T10:11:00Z</dcterms:modified>
</cp:coreProperties>
</file>