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kúpnej zmluvy</w:t>
      </w:r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C53C2F">
        <w:rPr>
          <w:rFonts w:ascii="Arial Narrow" w:hAnsi="Arial Narrow"/>
          <w:b/>
          <w:sz w:val="28"/>
          <w:szCs w:val="28"/>
        </w:rPr>
        <w:t>Automatizovaný balistický porovnávací systém</w:t>
      </w:r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F26544" w:rsidRPr="00731E0E" w:rsidRDefault="00F26544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993"/>
        <w:gridCol w:w="1559"/>
        <w:gridCol w:w="850"/>
        <w:gridCol w:w="993"/>
        <w:gridCol w:w="2268"/>
      </w:tblGrid>
      <w:tr w:rsidR="006F1187" w:rsidRPr="009E6863" w:rsidTr="006F1187">
        <w:trPr>
          <w:cantSplit/>
          <w:trHeight w:val="1918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F1187" w:rsidRPr="00D73957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6F1187" w:rsidRPr="00D73957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btLr"/>
            <w:vAlign w:val="center"/>
          </w:tcPr>
          <w:p w:rsidR="006F1187" w:rsidRPr="00910108" w:rsidRDefault="006F1187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6F1187" w:rsidRPr="00910108" w:rsidRDefault="006F1187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za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položku  </w:t>
            </w:r>
          </w:p>
          <w:p w:rsidR="006F1187" w:rsidRPr="00910108" w:rsidRDefault="006F1187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F1187" w:rsidRPr="00910108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6F1187" w:rsidRPr="00910108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6F1187" w:rsidRPr="00910108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6F1187" w:rsidRPr="00910108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F1187" w:rsidRDefault="006F1187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6F1187" w:rsidRPr="00910108" w:rsidRDefault="006F1187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6F1187" w:rsidRPr="00910108" w:rsidRDefault="006F1187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cena za </w:t>
            </w:r>
            <w:bookmarkStart w:id="0" w:name="_GoBack"/>
            <w:bookmarkEnd w:id="0"/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položku </w:t>
            </w:r>
          </w:p>
          <w:p w:rsidR="006F1187" w:rsidRPr="00910108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6F1187" w:rsidRPr="00D73957" w:rsidTr="006F1187">
        <w:trPr>
          <w:cantSplit/>
          <w:trHeight w:val="832"/>
        </w:trPr>
        <w:tc>
          <w:tcPr>
            <w:tcW w:w="426" w:type="dxa"/>
            <w:vAlign w:val="center"/>
          </w:tcPr>
          <w:p w:rsidR="006F1187" w:rsidRDefault="006F1187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6F1187" w:rsidRPr="00D73957" w:rsidRDefault="006F1187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6F1187" w:rsidRDefault="006F1187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  <w:r w:rsidRPr="00C53C2F">
              <w:rPr>
                <w:rFonts w:ascii="Arial Narrow" w:hAnsi="Arial Narrow"/>
                <w:sz w:val="24"/>
                <w:szCs w:val="24"/>
              </w:rPr>
              <w:t>Automatizovaný balistický porovnávací systém</w:t>
            </w:r>
            <w:r>
              <w:rPr>
                <w:rFonts w:ascii="Arial Narrow" w:hAnsi="Arial Narrow"/>
                <w:sz w:val="24"/>
                <w:szCs w:val="24"/>
              </w:rPr>
              <w:t xml:space="preserve">           (ABPS)</w:t>
            </w:r>
          </w:p>
          <w:p w:rsidR="006F1187" w:rsidRPr="00C53C2F" w:rsidRDefault="006F1187" w:rsidP="00C53C2F">
            <w:pPr>
              <w:jc w:val="both"/>
              <w:rPr>
                <w:bCs/>
                <w:sz w:val="12"/>
                <w:szCs w:val="12"/>
              </w:rPr>
            </w:pPr>
            <w:r w:rsidRPr="00C53C2F">
              <w:rPr>
                <w:rFonts w:ascii="Arial Narrow" w:hAnsi="Arial Narrow"/>
                <w:color w:val="000000"/>
                <w:sz w:val="12"/>
                <w:szCs w:val="12"/>
                <w:lang w:eastAsia="sk-SK"/>
              </w:rPr>
              <w:t xml:space="preserve">Predmetom zákazky je zabezpečenie dodávky ABPS, ktorý ako </w:t>
            </w:r>
            <w:r w:rsidRPr="00C53C2F">
              <w:rPr>
                <w:rFonts w:ascii="Arial Narrow" w:hAnsi="Arial Narrow"/>
                <w:bCs/>
                <w:sz w:val="12"/>
                <w:szCs w:val="12"/>
              </w:rPr>
              <w:t xml:space="preserve">celok pozostáva z 3 ks aktívnych pracovných staníc s príslušenstvom, pričom aktívne pracovné stanice </w:t>
            </w:r>
            <w:r>
              <w:rPr>
                <w:rFonts w:ascii="Arial Narrow" w:hAnsi="Arial Narrow"/>
                <w:bCs/>
                <w:sz w:val="12"/>
                <w:szCs w:val="12"/>
              </w:rPr>
              <w:t>sú</w:t>
            </w:r>
            <w:r w:rsidRPr="00C53C2F">
              <w:rPr>
                <w:rFonts w:ascii="Arial Narrow" w:hAnsi="Arial Narrow"/>
                <w:bCs/>
                <w:sz w:val="12"/>
                <w:szCs w:val="12"/>
              </w:rPr>
              <w:t xml:space="preserve"> prepojené. Pracovné stanice vrátane príslušenstva sa nachádza</w:t>
            </w:r>
            <w:r>
              <w:rPr>
                <w:rFonts w:ascii="Arial Narrow" w:hAnsi="Arial Narrow"/>
                <w:bCs/>
                <w:sz w:val="12"/>
                <w:szCs w:val="12"/>
              </w:rPr>
              <w:t>jú</w:t>
            </w:r>
            <w:r w:rsidRPr="00C53C2F">
              <w:rPr>
                <w:rFonts w:ascii="Arial Narrow" w:hAnsi="Arial Narrow"/>
                <w:bCs/>
                <w:sz w:val="12"/>
                <w:szCs w:val="12"/>
              </w:rPr>
              <w:t xml:space="preserve"> samostatne na troch pracoviskách kriminalistickej balistiky KEÚ PZ (Bratislava, Slovenská Ľupča, Košice), pričom tieto tri pracovné stanice </w:t>
            </w:r>
            <w:r>
              <w:rPr>
                <w:rFonts w:ascii="Arial Narrow" w:hAnsi="Arial Narrow"/>
                <w:bCs/>
                <w:sz w:val="12"/>
                <w:szCs w:val="12"/>
              </w:rPr>
              <w:t>sú</w:t>
            </w:r>
            <w:r w:rsidRPr="00C53C2F">
              <w:rPr>
                <w:rFonts w:ascii="Arial Narrow" w:hAnsi="Arial Narrow"/>
                <w:bCs/>
                <w:sz w:val="12"/>
                <w:szCs w:val="12"/>
              </w:rPr>
              <w:t xml:space="preserve"> vzájomne aktívne prepojené (on-line) prostredníctvom jedného centrálneho servera, resp. pomocou lokálnych serverov podľa prevedenia konfigurácie výrobcu ABPS.</w:t>
            </w:r>
            <w:r w:rsidRPr="00C53C2F">
              <w:rPr>
                <w:bCs/>
                <w:sz w:val="12"/>
                <w:szCs w:val="12"/>
              </w:rPr>
              <w:t xml:space="preserve">    </w:t>
            </w:r>
          </w:p>
          <w:p w:rsidR="006F1187" w:rsidRPr="00C53C2F" w:rsidRDefault="006F1187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F1187" w:rsidRDefault="006F1187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6F1187" w:rsidRPr="00D73957" w:rsidRDefault="006F1187" w:rsidP="00C53C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</w:p>
        </w:tc>
        <w:tc>
          <w:tcPr>
            <w:tcW w:w="1559" w:type="dxa"/>
            <w:vAlign w:val="center"/>
          </w:tcPr>
          <w:p w:rsidR="006F1187" w:rsidRPr="00D73957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6F1187" w:rsidRPr="00D73957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6F1187" w:rsidRPr="00D73957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6F1187" w:rsidRPr="00D73957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6F1187" w:rsidRPr="00D73957" w:rsidTr="006F1187">
        <w:trPr>
          <w:cantSplit/>
        </w:trPr>
        <w:tc>
          <w:tcPr>
            <w:tcW w:w="3970" w:type="dxa"/>
            <w:gridSpan w:val="3"/>
            <w:vAlign w:val="center"/>
          </w:tcPr>
          <w:p w:rsidR="006F1187" w:rsidRDefault="006F1187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6F1187" w:rsidRPr="00D73957" w:rsidRDefault="00D51AED" w:rsidP="00D51AED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D51AED">
              <w:rPr>
                <w:rFonts w:ascii="Arial Narrow" w:eastAsia="Calibri" w:hAnsi="Arial Narrow"/>
                <w:b/>
                <w:bCs/>
                <w:color w:val="000000"/>
                <w:lang w:eastAsia="sk-SK"/>
              </w:rPr>
              <w:t>Celková cena</w:t>
            </w:r>
            <w:r w:rsidRPr="002C491E">
              <w:rPr>
                <w:rFonts w:ascii="Arial Narrow" w:eastAsia="Calibri" w:hAnsi="Arial Narrow"/>
                <w:b/>
                <w:bCs/>
                <w:color w:val="000000"/>
                <w:lang w:eastAsia="sk-SK"/>
              </w:rPr>
              <w:t xml:space="preserve"> za </w:t>
            </w:r>
            <w:r>
              <w:rPr>
                <w:rFonts w:ascii="Arial Narrow" w:eastAsia="Calibri" w:hAnsi="Arial Narrow"/>
                <w:b/>
                <w:bCs/>
                <w:color w:val="000000"/>
                <w:lang w:eastAsia="sk-SK"/>
              </w:rPr>
              <w:t xml:space="preserve">dodanie požadovaného predmetu </w:t>
            </w:r>
            <w:r w:rsidRPr="002C491E">
              <w:rPr>
                <w:rFonts w:ascii="Arial Narrow" w:eastAsia="Calibri" w:hAnsi="Arial Narrow"/>
                <w:b/>
                <w:bCs/>
                <w:color w:val="000000"/>
                <w:lang w:eastAsia="sk-SK"/>
              </w:rPr>
              <w:t>zákazky</w:t>
            </w:r>
            <w:r>
              <w:rPr>
                <w:rFonts w:ascii="Arial Narrow" w:eastAsia="Calibri" w:hAnsi="Arial Narrow"/>
                <w:b/>
                <w:bCs/>
                <w:color w:val="000000"/>
                <w:lang w:eastAsia="sk-SK"/>
              </w:rPr>
              <w:t xml:space="preserve"> </w:t>
            </w:r>
            <w:r w:rsidRPr="002C491E">
              <w:rPr>
                <w:rFonts w:ascii="Arial Narrow" w:eastAsia="Calibri" w:hAnsi="Arial Narrow"/>
                <w:b/>
                <w:bCs/>
                <w:color w:val="000000"/>
                <w:lang w:eastAsia="sk-SK"/>
              </w:rPr>
              <w:t xml:space="preserve"> vyjadrená v EUR bez</w:t>
            </w: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 xml:space="preserve"> DPH</w:t>
            </w:r>
            <w:r w:rsidRPr="002C491E">
              <w:rPr>
                <w:rFonts w:ascii="Arial Narrow" w:eastAsia="Calibri" w:hAnsi="Arial Narrow"/>
                <w:b/>
                <w:bCs/>
                <w:color w:val="000000"/>
                <w:lang w:eastAsia="sk-SK"/>
              </w:rPr>
              <w:t xml:space="preserve">                                  </w:t>
            </w:r>
            <w:r>
              <w:rPr>
                <w:rFonts w:ascii="Arial Narrow" w:eastAsia="Calibri" w:hAnsi="Arial Narrow"/>
                <w:b/>
                <w:bCs/>
                <w:color w:val="000000"/>
                <w:lang w:eastAsia="sk-SK"/>
              </w:rPr>
              <w:t xml:space="preserve">                         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1187" w:rsidRPr="00D73957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87" w:rsidRPr="00D73957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87" w:rsidRPr="00D73957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187" w:rsidRPr="00D73957" w:rsidRDefault="006F1187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45D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1187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1AED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F440C-D7D1-4707-B715-6D043892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26</cp:revision>
  <cp:lastPrinted>2021-09-02T08:38:00Z</cp:lastPrinted>
  <dcterms:created xsi:type="dcterms:W3CDTF">2019-01-30T12:09:00Z</dcterms:created>
  <dcterms:modified xsi:type="dcterms:W3CDTF">2021-09-02T08:49:00Z</dcterms:modified>
</cp:coreProperties>
</file>