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29496" w14:textId="77777777" w:rsidR="00933DB0" w:rsidRPr="001D0F9A" w:rsidRDefault="00933DB0" w:rsidP="00933DB0">
      <w:pPr>
        <w:spacing w:after="120" w:line="240" w:lineRule="auto"/>
        <w:jc w:val="center"/>
        <w:rPr>
          <w:rFonts w:cstheme="minorHAnsi"/>
          <w:b/>
        </w:rPr>
      </w:pPr>
    </w:p>
    <w:p w14:paraId="251B19FB" w14:textId="77777777" w:rsidR="00933DB0" w:rsidRPr="001D0F9A" w:rsidRDefault="00933DB0" w:rsidP="00933DB0">
      <w:pPr>
        <w:spacing w:after="120" w:line="240" w:lineRule="auto"/>
        <w:jc w:val="center"/>
        <w:rPr>
          <w:rFonts w:cstheme="minorHAnsi"/>
          <w:b/>
        </w:rPr>
      </w:pPr>
    </w:p>
    <w:p w14:paraId="1BC083B5" w14:textId="77777777" w:rsidR="00933DB0" w:rsidRPr="001D0F9A" w:rsidRDefault="00933DB0" w:rsidP="00933DB0">
      <w:pPr>
        <w:spacing w:after="120" w:line="240" w:lineRule="auto"/>
        <w:jc w:val="center"/>
        <w:rPr>
          <w:rFonts w:cstheme="minorHAnsi"/>
          <w:b/>
        </w:rPr>
      </w:pPr>
    </w:p>
    <w:p w14:paraId="43898235" w14:textId="77777777" w:rsidR="00933DB0" w:rsidRPr="001D0F9A" w:rsidRDefault="00933DB0" w:rsidP="00933DB0">
      <w:pPr>
        <w:spacing w:after="120" w:line="240" w:lineRule="auto"/>
        <w:jc w:val="center"/>
        <w:rPr>
          <w:rFonts w:cstheme="minorHAnsi"/>
          <w:b/>
        </w:rPr>
      </w:pPr>
    </w:p>
    <w:p w14:paraId="0D5501B9" w14:textId="77777777" w:rsidR="00933DB0" w:rsidRPr="001D0F9A" w:rsidRDefault="00933DB0" w:rsidP="00933DB0">
      <w:pPr>
        <w:spacing w:after="120" w:line="240" w:lineRule="auto"/>
        <w:jc w:val="center"/>
        <w:rPr>
          <w:rFonts w:cstheme="minorHAnsi"/>
          <w:b/>
        </w:rPr>
      </w:pPr>
    </w:p>
    <w:p w14:paraId="112FE137" w14:textId="77777777" w:rsidR="00933DB0" w:rsidRPr="001D0F9A" w:rsidRDefault="00933DB0" w:rsidP="00933DB0">
      <w:pPr>
        <w:spacing w:after="120" w:line="240" w:lineRule="auto"/>
        <w:jc w:val="center"/>
        <w:rPr>
          <w:rFonts w:cstheme="minorHAnsi"/>
          <w:b/>
        </w:rPr>
      </w:pPr>
    </w:p>
    <w:p w14:paraId="74DFA7A3" w14:textId="77777777" w:rsidR="00933DB0" w:rsidRPr="001D0F9A" w:rsidRDefault="00933DB0" w:rsidP="00933DB0">
      <w:pPr>
        <w:spacing w:after="120" w:line="240" w:lineRule="auto"/>
        <w:jc w:val="center"/>
        <w:rPr>
          <w:rFonts w:cstheme="minorHAnsi"/>
          <w:b/>
        </w:rPr>
      </w:pPr>
    </w:p>
    <w:p w14:paraId="432EFBF2" w14:textId="77777777" w:rsidR="00933DB0" w:rsidRPr="001D0F9A" w:rsidRDefault="00933DB0" w:rsidP="00933DB0">
      <w:pPr>
        <w:spacing w:after="120" w:line="240" w:lineRule="auto"/>
        <w:jc w:val="center"/>
        <w:rPr>
          <w:rFonts w:cstheme="minorHAnsi"/>
          <w:b/>
        </w:rPr>
      </w:pPr>
    </w:p>
    <w:p w14:paraId="7C8443C2" w14:textId="77777777" w:rsidR="00933DB0" w:rsidRPr="001D0F9A" w:rsidRDefault="00933DB0" w:rsidP="00933DB0">
      <w:pPr>
        <w:spacing w:after="120" w:line="240" w:lineRule="auto"/>
        <w:jc w:val="center"/>
        <w:rPr>
          <w:rFonts w:cstheme="minorHAnsi"/>
          <w:b/>
        </w:rPr>
      </w:pPr>
    </w:p>
    <w:p w14:paraId="7928694D" w14:textId="77777777" w:rsidR="00933DB0" w:rsidRPr="001D0F9A" w:rsidRDefault="00933DB0" w:rsidP="00933DB0">
      <w:pPr>
        <w:spacing w:after="120" w:line="240" w:lineRule="auto"/>
        <w:rPr>
          <w:rFonts w:cstheme="minorHAnsi"/>
          <w:b/>
        </w:rPr>
      </w:pPr>
    </w:p>
    <w:p w14:paraId="1E5CAAAF" w14:textId="77777777" w:rsidR="00933DB0" w:rsidRPr="001D0F9A" w:rsidRDefault="00933DB0" w:rsidP="00933DB0">
      <w:pPr>
        <w:spacing w:after="120" w:line="240" w:lineRule="auto"/>
        <w:rPr>
          <w:rFonts w:cstheme="minorHAnsi"/>
          <w:b/>
        </w:rPr>
      </w:pPr>
    </w:p>
    <w:p w14:paraId="640CAADA" w14:textId="77777777" w:rsidR="00933DB0" w:rsidRPr="001D0F9A" w:rsidRDefault="00933DB0" w:rsidP="00933DB0">
      <w:pPr>
        <w:widowControl w:val="0"/>
        <w:autoSpaceDE w:val="0"/>
        <w:autoSpaceDN w:val="0"/>
        <w:adjustRightInd w:val="0"/>
        <w:jc w:val="both"/>
        <w:rPr>
          <w:rFonts w:cstheme="minorHAnsi"/>
        </w:rPr>
      </w:pPr>
    </w:p>
    <w:tbl>
      <w:tblPr>
        <w:tblW w:w="9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933DB0" w:rsidRPr="001D0F9A" w14:paraId="3F1EED48" w14:textId="77777777" w:rsidTr="00D003C2">
        <w:trPr>
          <w:trHeight w:val="2700"/>
        </w:trPr>
        <w:tc>
          <w:tcPr>
            <w:tcW w:w="9073" w:type="dxa"/>
          </w:tcPr>
          <w:p w14:paraId="55035EA3" w14:textId="77777777" w:rsidR="00933DB0" w:rsidRPr="001D0F9A" w:rsidRDefault="00933DB0" w:rsidP="00D003C2">
            <w:pPr>
              <w:widowControl w:val="0"/>
              <w:autoSpaceDE w:val="0"/>
              <w:autoSpaceDN w:val="0"/>
              <w:adjustRightInd w:val="0"/>
              <w:jc w:val="both"/>
              <w:rPr>
                <w:rFonts w:cstheme="minorHAnsi"/>
              </w:rPr>
            </w:pPr>
          </w:p>
          <w:p w14:paraId="7D526D33" w14:textId="77777777" w:rsidR="00933DB0" w:rsidRPr="001D0F9A" w:rsidRDefault="00933DB0" w:rsidP="00D003C2">
            <w:pPr>
              <w:widowControl w:val="0"/>
              <w:autoSpaceDE w:val="0"/>
              <w:autoSpaceDN w:val="0"/>
              <w:adjustRightInd w:val="0"/>
              <w:jc w:val="both"/>
              <w:rPr>
                <w:rFonts w:cstheme="minorHAnsi"/>
              </w:rPr>
            </w:pPr>
          </w:p>
          <w:p w14:paraId="5E34437F" w14:textId="77777777" w:rsidR="00933DB0" w:rsidRPr="001D0F9A" w:rsidRDefault="00933DB0" w:rsidP="00D003C2">
            <w:pPr>
              <w:widowControl w:val="0"/>
              <w:autoSpaceDE w:val="0"/>
              <w:autoSpaceDN w:val="0"/>
              <w:adjustRightInd w:val="0"/>
              <w:jc w:val="both"/>
              <w:rPr>
                <w:rFonts w:cstheme="minorHAnsi"/>
              </w:rPr>
            </w:pPr>
          </w:p>
          <w:p w14:paraId="160E56A6" w14:textId="77777777" w:rsidR="00933DB0" w:rsidRPr="001D0F9A" w:rsidRDefault="00933DB0" w:rsidP="00D003C2">
            <w:pPr>
              <w:tabs>
                <w:tab w:val="num" w:pos="1080"/>
                <w:tab w:val="left" w:leader="dot" w:pos="10034"/>
              </w:tabs>
              <w:spacing w:before="120"/>
              <w:jc w:val="center"/>
              <w:rPr>
                <w:rFonts w:cstheme="minorHAnsi"/>
              </w:rPr>
            </w:pPr>
            <w:r w:rsidRPr="001D0F9A">
              <w:rPr>
                <w:rFonts w:cstheme="minorHAnsi"/>
                <w:b/>
                <w:smallCaps/>
                <w:sz w:val="24"/>
                <w:szCs w:val="24"/>
              </w:rPr>
              <w:t>podmienky účasti</w:t>
            </w:r>
          </w:p>
        </w:tc>
      </w:tr>
    </w:tbl>
    <w:p w14:paraId="2081A7DE" w14:textId="77777777" w:rsidR="00933DB0" w:rsidRPr="001D0F9A" w:rsidRDefault="00933DB0" w:rsidP="00933DB0">
      <w:pPr>
        <w:spacing w:after="120" w:line="240" w:lineRule="auto"/>
        <w:jc w:val="center"/>
        <w:rPr>
          <w:rFonts w:cstheme="minorHAnsi"/>
          <w:b/>
        </w:rPr>
      </w:pPr>
    </w:p>
    <w:p w14:paraId="2911B8C8" w14:textId="77777777" w:rsidR="00933DB0" w:rsidRPr="001D0F9A" w:rsidRDefault="00933DB0" w:rsidP="00933DB0">
      <w:pPr>
        <w:rPr>
          <w:rFonts w:cstheme="minorHAnsi"/>
          <w:b/>
        </w:rPr>
      </w:pPr>
      <w:r w:rsidRPr="001D0F9A">
        <w:rPr>
          <w:rFonts w:cstheme="minorHAnsi"/>
          <w:b/>
        </w:rPr>
        <w:br w:type="page"/>
      </w:r>
    </w:p>
    <w:p w14:paraId="27EA8EEC" w14:textId="77777777" w:rsidR="00933DB0" w:rsidRPr="001D0F9A" w:rsidRDefault="00933DB0" w:rsidP="00933DB0">
      <w:pPr>
        <w:spacing w:after="120" w:line="240" w:lineRule="auto"/>
        <w:jc w:val="center"/>
        <w:rPr>
          <w:rFonts w:cstheme="minorHAnsi"/>
          <w:b/>
        </w:rPr>
      </w:pPr>
      <w:r w:rsidRPr="001D0F9A">
        <w:rPr>
          <w:rFonts w:cstheme="minorHAnsi"/>
          <w:b/>
        </w:rPr>
        <w:lastRenderedPageBreak/>
        <w:t>PODMIENKY ÚČASTI</w:t>
      </w:r>
    </w:p>
    <w:p w14:paraId="6C79CB66" w14:textId="14E80527" w:rsidR="00933DB0" w:rsidRPr="001D0F9A" w:rsidRDefault="00933DB0" w:rsidP="00933DB0">
      <w:pPr>
        <w:spacing w:after="120"/>
        <w:jc w:val="center"/>
        <w:rPr>
          <w:rFonts w:cstheme="minorHAnsi"/>
        </w:rPr>
      </w:pPr>
      <w:r w:rsidRPr="001D0F9A">
        <w:rPr>
          <w:rFonts w:cstheme="minorHAnsi"/>
          <w:b/>
        </w:rPr>
        <w:t xml:space="preserve"> „</w:t>
      </w:r>
      <w:r w:rsidR="002970D4" w:rsidRPr="002970D4">
        <w:rPr>
          <w:rFonts w:cstheme="minorHAnsi"/>
          <w:b/>
        </w:rPr>
        <w:t>Nákup služobných motorových vozidiel</w:t>
      </w:r>
      <w:r w:rsidRPr="001D0F9A">
        <w:rPr>
          <w:rFonts w:cstheme="minorHAnsi"/>
          <w:b/>
        </w:rPr>
        <w:t>"</w:t>
      </w:r>
    </w:p>
    <w:p w14:paraId="212CF818" w14:textId="77777777" w:rsidR="004A3DEA" w:rsidRDefault="004A3DEA" w:rsidP="004A3DEA">
      <w:pPr>
        <w:rPr>
          <w:rFonts w:cstheme="minorHAnsi"/>
          <w:b/>
        </w:rPr>
      </w:pPr>
    </w:p>
    <w:p w14:paraId="7E30B23C" w14:textId="77777777" w:rsidR="004A3DEA" w:rsidRDefault="004A3DEA" w:rsidP="004A3DEA">
      <w:pPr>
        <w:rPr>
          <w:rFonts w:cstheme="minorHAnsi"/>
          <w:b/>
        </w:rPr>
      </w:pPr>
    </w:p>
    <w:p w14:paraId="6BD1F584" w14:textId="0B600872" w:rsidR="004A3DEA" w:rsidRPr="004A3DEA" w:rsidRDefault="004A3DEA" w:rsidP="004A3DEA">
      <w:pPr>
        <w:rPr>
          <w:rFonts w:cstheme="minorHAnsi"/>
          <w:b/>
        </w:rPr>
      </w:pPr>
      <w:r w:rsidRPr="004A3DEA">
        <w:rPr>
          <w:rFonts w:cstheme="minorHAnsi"/>
          <w:b/>
        </w:rPr>
        <w:t xml:space="preserve">1. </w:t>
      </w:r>
      <w:r w:rsidRPr="004A3DEA">
        <w:rPr>
          <w:rFonts w:eastAsia="Times New Roman" w:cstheme="minorHAnsi"/>
          <w:b/>
          <w:u w:val="single"/>
          <w:lang w:eastAsia="sk-SK"/>
        </w:rPr>
        <w:t>Osobné postavenie podľa § 32 ods. 1</w:t>
      </w:r>
      <w:r w:rsidRPr="004A3DEA">
        <w:rPr>
          <w:rFonts w:cstheme="minorHAnsi"/>
          <w:b/>
        </w:rPr>
        <w:t xml:space="preserve"> </w:t>
      </w:r>
      <w:r w:rsidRPr="004A3DEA">
        <w:rPr>
          <w:rFonts w:cstheme="minorHAnsi"/>
        </w:rPr>
        <w:t>zákona č. 343/2015 Z. z. o verejnom obstarávaní a o zmene a doplnení niektorých zákonov v znení neskorších predpisov (ďalej len „zákon“)</w:t>
      </w:r>
      <w:r w:rsidRPr="004A3DEA">
        <w:rPr>
          <w:rFonts w:cstheme="minorHAnsi"/>
          <w:b/>
        </w:rPr>
        <w:t xml:space="preserve"> </w:t>
      </w:r>
    </w:p>
    <w:p w14:paraId="70C4C9FA" w14:textId="77777777" w:rsidR="004A3DEA" w:rsidRPr="004A3DEA" w:rsidRDefault="004A3DEA" w:rsidP="004A3DEA">
      <w:pPr>
        <w:autoSpaceDE w:val="0"/>
        <w:autoSpaceDN w:val="0"/>
        <w:adjustRightInd w:val="0"/>
        <w:spacing w:after="0" w:line="240" w:lineRule="auto"/>
        <w:jc w:val="both"/>
        <w:rPr>
          <w:rFonts w:cstheme="minorHAnsi"/>
        </w:rPr>
      </w:pPr>
      <w:r w:rsidRPr="004A3DEA">
        <w:rPr>
          <w:rFonts w:cstheme="minorHAnsi"/>
        </w:rPr>
        <w:t>Verejného obstarávania sa môže zúčastniť hospodársky subjekt, ktorý spĺňa taxatívne určené podmienky účasti týkajúce sa osobného postavenia podľa § 32 ods. 1 zákona. Uchádzač preukáže splnenie podmienok účasti týkajúcich sa osobného postavenia podľa § 32 ods. 1 zákona, dokladmi podľa § 32 ods. 2, resp. podľa § 32 ods. 4 a 5 zákona.</w:t>
      </w:r>
    </w:p>
    <w:p w14:paraId="42BD51E5" w14:textId="77777777" w:rsidR="004A3DEA" w:rsidRPr="004A3DEA" w:rsidRDefault="004A3DEA" w:rsidP="004A3DEA">
      <w:pPr>
        <w:autoSpaceDE w:val="0"/>
        <w:autoSpaceDN w:val="0"/>
        <w:adjustRightInd w:val="0"/>
        <w:spacing w:after="0" w:line="240" w:lineRule="auto"/>
        <w:jc w:val="both"/>
        <w:rPr>
          <w:rFonts w:cstheme="minorHAnsi"/>
        </w:rPr>
      </w:pPr>
    </w:p>
    <w:p w14:paraId="73FB8F43" w14:textId="77777777" w:rsidR="004A3DEA" w:rsidRPr="004A3DEA" w:rsidRDefault="004A3DEA" w:rsidP="004A3DEA">
      <w:pPr>
        <w:autoSpaceDE w:val="0"/>
        <w:autoSpaceDN w:val="0"/>
        <w:adjustRightInd w:val="0"/>
        <w:spacing w:after="0" w:line="240" w:lineRule="auto"/>
        <w:jc w:val="both"/>
        <w:rPr>
          <w:rFonts w:cstheme="minorHAnsi"/>
        </w:rPr>
      </w:pPr>
      <w:r w:rsidRPr="004A3DEA">
        <w:rPr>
          <w:rFonts w:cstheme="minorHAnsi"/>
        </w:rPr>
        <w:t>Hospodársky subjekt môže predbežne nahradiť doklady na preukázanie splnenia podmienok účasti jednotným európskym dokumentom podľa § 39 ods. 1 zákona. Preukazovanie podmienok účasti je voči verejnému obstarávateľovi účinné aj spôsobom podľa § 152 ods. 4 zákona.</w:t>
      </w:r>
    </w:p>
    <w:p w14:paraId="14B3EBB6" w14:textId="77777777" w:rsidR="004A3DEA" w:rsidRPr="004A3DEA" w:rsidRDefault="004A3DEA" w:rsidP="004A3DEA">
      <w:pPr>
        <w:autoSpaceDE w:val="0"/>
        <w:autoSpaceDN w:val="0"/>
        <w:adjustRightInd w:val="0"/>
        <w:spacing w:after="0" w:line="240" w:lineRule="auto"/>
        <w:jc w:val="both"/>
        <w:rPr>
          <w:rFonts w:cstheme="minorHAnsi"/>
        </w:rPr>
      </w:pPr>
    </w:p>
    <w:p w14:paraId="55666E05" w14:textId="77777777" w:rsidR="004A3DEA" w:rsidRPr="004A3DEA" w:rsidRDefault="004A3DEA" w:rsidP="004A3DEA">
      <w:pPr>
        <w:autoSpaceDE w:val="0"/>
        <w:autoSpaceDN w:val="0"/>
        <w:adjustRightInd w:val="0"/>
        <w:spacing w:after="0" w:line="240" w:lineRule="auto"/>
        <w:jc w:val="both"/>
        <w:rPr>
          <w:rFonts w:cstheme="minorHAnsi"/>
        </w:rPr>
      </w:pPr>
      <w:r w:rsidRPr="004A3DEA">
        <w:rPr>
          <w:rFonts w:cstheme="minorHAnsi"/>
        </w:rPr>
        <w:t>Uchádzač zapísaný v zozname hospodárskych subjektov podľa zákona nie je povinný v procese verejného obstarávania predkladať doklady podľa § 32 ods. 2 zákona.</w:t>
      </w:r>
    </w:p>
    <w:p w14:paraId="5597ABE7" w14:textId="77777777" w:rsidR="004A3DEA" w:rsidRPr="004A3DEA" w:rsidRDefault="004A3DEA" w:rsidP="004A3DEA">
      <w:pPr>
        <w:autoSpaceDE w:val="0"/>
        <w:autoSpaceDN w:val="0"/>
        <w:adjustRightInd w:val="0"/>
        <w:spacing w:after="0" w:line="240" w:lineRule="auto"/>
        <w:jc w:val="both"/>
        <w:rPr>
          <w:rFonts w:cstheme="minorHAnsi"/>
        </w:rPr>
      </w:pPr>
    </w:p>
    <w:p w14:paraId="36AAA0F3" w14:textId="77777777" w:rsidR="004A3DEA" w:rsidRPr="004A3DEA" w:rsidRDefault="004A3DEA" w:rsidP="004A3DEA">
      <w:pPr>
        <w:autoSpaceDE w:val="0"/>
        <w:autoSpaceDN w:val="0"/>
        <w:adjustRightInd w:val="0"/>
        <w:spacing w:after="0" w:line="240" w:lineRule="auto"/>
        <w:jc w:val="both"/>
        <w:rPr>
          <w:rFonts w:cstheme="minorHAnsi"/>
        </w:rPr>
      </w:pPr>
      <w:r w:rsidRPr="004A3DEA">
        <w:rPr>
          <w:rFonts w:cstheme="minorHAnsi"/>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AED508F" w14:textId="77777777" w:rsidR="004A3DEA" w:rsidRPr="004A3DEA" w:rsidRDefault="004A3DEA" w:rsidP="004A3DEA">
      <w:pPr>
        <w:autoSpaceDE w:val="0"/>
        <w:autoSpaceDN w:val="0"/>
        <w:adjustRightInd w:val="0"/>
        <w:spacing w:after="0" w:line="240" w:lineRule="auto"/>
        <w:jc w:val="both"/>
        <w:rPr>
          <w:rFonts w:cstheme="minorHAnsi"/>
        </w:rPr>
      </w:pPr>
    </w:p>
    <w:p w14:paraId="0D386654" w14:textId="77777777" w:rsidR="004A3DEA" w:rsidRPr="004A3DEA" w:rsidRDefault="004A3DEA" w:rsidP="004A3DEA">
      <w:pPr>
        <w:autoSpaceDE w:val="0"/>
        <w:autoSpaceDN w:val="0"/>
        <w:adjustRightInd w:val="0"/>
        <w:spacing w:after="0" w:line="240" w:lineRule="auto"/>
        <w:jc w:val="both"/>
        <w:rPr>
          <w:rFonts w:cstheme="minorHAnsi"/>
        </w:rPr>
      </w:pPr>
      <w:r w:rsidRPr="004A3DEA">
        <w:rPr>
          <w:rFonts w:cstheme="minorHAnsi"/>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47BA58F7" w14:textId="77777777" w:rsidR="004A3DEA" w:rsidRPr="004A3DEA" w:rsidRDefault="004A3DEA" w:rsidP="004A3DEA">
      <w:pPr>
        <w:autoSpaceDE w:val="0"/>
        <w:autoSpaceDN w:val="0"/>
        <w:adjustRightInd w:val="0"/>
        <w:spacing w:after="0" w:line="240" w:lineRule="auto"/>
        <w:jc w:val="both"/>
        <w:rPr>
          <w:rFonts w:cstheme="minorHAnsi"/>
        </w:rPr>
      </w:pPr>
    </w:p>
    <w:p w14:paraId="52F3DB43" w14:textId="77777777" w:rsidR="004A3DEA" w:rsidRPr="004A3DEA" w:rsidRDefault="004A3DEA" w:rsidP="004A3DEA">
      <w:pPr>
        <w:autoSpaceDE w:val="0"/>
        <w:autoSpaceDN w:val="0"/>
        <w:adjustRightInd w:val="0"/>
        <w:spacing w:after="0" w:line="240" w:lineRule="auto"/>
        <w:jc w:val="both"/>
        <w:rPr>
          <w:rFonts w:cstheme="minorHAnsi"/>
        </w:rPr>
      </w:pPr>
      <w:r w:rsidRPr="004A3DEA">
        <w:rPr>
          <w:rFonts w:cstheme="minorHAnsi"/>
        </w:rPr>
        <w:t>Doklady, ktoré sa nepredkladajú:</w:t>
      </w:r>
    </w:p>
    <w:p w14:paraId="702F89E1" w14:textId="77777777" w:rsidR="004A3DEA" w:rsidRPr="004A3DEA" w:rsidRDefault="004A3DEA" w:rsidP="004A3DEA">
      <w:pPr>
        <w:pStyle w:val="Odsekzoznamu"/>
        <w:numPr>
          <w:ilvl w:val="0"/>
          <w:numId w:val="2"/>
        </w:numPr>
        <w:autoSpaceDE w:val="0"/>
        <w:autoSpaceDN w:val="0"/>
        <w:adjustRightInd w:val="0"/>
        <w:ind w:left="426" w:hanging="426"/>
        <w:jc w:val="both"/>
        <w:rPr>
          <w:rFonts w:asciiTheme="minorHAnsi" w:hAnsiTheme="minorHAnsi" w:cstheme="minorHAnsi"/>
          <w:sz w:val="22"/>
        </w:rPr>
      </w:pPr>
      <w:r w:rsidRPr="004A3DEA">
        <w:rPr>
          <w:rFonts w:asciiTheme="minorHAnsi" w:hAnsiTheme="minorHAnsi" w:cstheme="minorHAnsi"/>
          <w:sz w:val="22"/>
        </w:rPr>
        <w:t>V prípade preukázania splnenia podmienky účasti týkajúcej sa osobného postavenia podľa § 32 ods. 1 písm. e) zákona výpisom z Obchodného registra Slovenskej republiky alebo výpisom zo Živnostenského registra Slovenskej republiky, záujemca/uchádzač nie je povinný v zmysle § 32 ods. 3 zákona tieto doklady predkladať verejnému obstarávateľovi, a to z dôvodu použitia údajov z informačných systémov verejnej správy.</w:t>
      </w:r>
    </w:p>
    <w:p w14:paraId="6AC97632" w14:textId="77777777" w:rsidR="004A3DEA" w:rsidRPr="004A3DEA" w:rsidRDefault="004A3DEA" w:rsidP="004A3DEA">
      <w:pPr>
        <w:pStyle w:val="Odsekzoznamu"/>
        <w:autoSpaceDE w:val="0"/>
        <w:autoSpaceDN w:val="0"/>
        <w:adjustRightInd w:val="0"/>
        <w:ind w:left="360"/>
        <w:jc w:val="both"/>
        <w:rPr>
          <w:rFonts w:asciiTheme="minorHAnsi" w:hAnsiTheme="minorHAnsi" w:cstheme="minorHAnsi"/>
          <w:sz w:val="22"/>
        </w:rPr>
      </w:pPr>
    </w:p>
    <w:p w14:paraId="28123D8C" w14:textId="737C4607" w:rsidR="00933DB0" w:rsidRPr="004A3DEA" w:rsidRDefault="004A3DEA" w:rsidP="004A3DEA">
      <w:pPr>
        <w:widowControl w:val="0"/>
        <w:numPr>
          <w:ilvl w:val="0"/>
          <w:numId w:val="2"/>
        </w:numPr>
        <w:tabs>
          <w:tab w:val="left" w:pos="426"/>
        </w:tabs>
        <w:spacing w:after="0" w:line="240" w:lineRule="exact"/>
        <w:ind w:left="426" w:hanging="426"/>
        <w:jc w:val="both"/>
        <w:rPr>
          <w:rFonts w:eastAsia="Tahoma" w:cstheme="minorHAnsi"/>
          <w:szCs w:val="18"/>
          <w:lang w:eastAsia="sk-SK" w:bidi="sk-SK"/>
        </w:rPr>
      </w:pPr>
      <w:r w:rsidRPr="004A3DEA">
        <w:rPr>
          <w:rFonts w:cstheme="minorHAnsi"/>
        </w:rPr>
        <w:t>S ohľadom na to, že z technických dôvodov nie je možné získať údaje alebo výpisy z informačných systémov Generálnej prokuratúry, predkladá záujemca/uchádzač doklady podľa § 32 ods. 1 a) zákona vo forme skenu dokumentu/ov - výpisu z registra trestov, ktorý bol vydaný v listinnej podobe a to v súlade s ustanovením § 1 ods. 6 zákona č. 177/2018 Z. z. o niektorých opatreniach na znižovanie administratívnej záťaže využívaním informačných systémov verejnej správy a o zmene a doplnení niektorých zákonov (zákon proti byrokracii).</w:t>
      </w:r>
      <w:r w:rsidR="00933DB0" w:rsidRPr="004A3DEA">
        <w:rPr>
          <w:rFonts w:eastAsia="Tahoma" w:cstheme="minorHAnsi"/>
          <w:szCs w:val="18"/>
          <w:lang w:eastAsia="sk-SK" w:bidi="sk-SK"/>
        </w:rPr>
        <w:t xml:space="preserve"> </w:t>
      </w:r>
    </w:p>
    <w:p w14:paraId="5ECFF5FB" w14:textId="77777777" w:rsidR="00933DB0" w:rsidRPr="001D0F9A" w:rsidRDefault="00933DB0" w:rsidP="00933DB0">
      <w:pPr>
        <w:pStyle w:val="Default"/>
        <w:ind w:left="426" w:hanging="426"/>
        <w:rPr>
          <w:rFonts w:asciiTheme="minorHAnsi" w:eastAsia="Tahoma" w:hAnsiTheme="minorHAnsi" w:cstheme="minorHAnsi"/>
          <w:lang w:eastAsia="sk-SK" w:bidi="sk-SK"/>
        </w:rPr>
      </w:pPr>
      <w:r w:rsidRPr="001D0F9A">
        <w:rPr>
          <w:rFonts w:asciiTheme="minorHAnsi" w:hAnsiTheme="minorHAnsi" w:cstheme="minorHAnsi"/>
          <w:sz w:val="20"/>
          <w:szCs w:val="20"/>
        </w:rPr>
        <w:t xml:space="preserve">   </w:t>
      </w:r>
      <w:r w:rsidRPr="001D0F9A">
        <w:rPr>
          <w:rFonts w:asciiTheme="minorHAnsi" w:hAnsiTheme="minorHAnsi" w:cstheme="minorHAnsi"/>
          <w:sz w:val="20"/>
          <w:szCs w:val="20"/>
        </w:rPr>
        <w:tab/>
      </w:r>
    </w:p>
    <w:p w14:paraId="6B1C7B04" w14:textId="77777777" w:rsidR="00933DB0" w:rsidRPr="001D0F9A" w:rsidRDefault="00933DB0" w:rsidP="00933DB0">
      <w:pPr>
        <w:widowControl w:val="0"/>
        <w:tabs>
          <w:tab w:val="left" w:pos="426"/>
        </w:tabs>
        <w:spacing w:after="0" w:line="240" w:lineRule="auto"/>
        <w:ind w:left="426"/>
        <w:jc w:val="both"/>
        <w:rPr>
          <w:rFonts w:eastAsia="Tahoma" w:cstheme="minorHAnsi"/>
          <w:szCs w:val="18"/>
          <w:lang w:eastAsia="sk-SK" w:bidi="sk-SK"/>
        </w:rPr>
      </w:pPr>
    </w:p>
    <w:p w14:paraId="48C3377E" w14:textId="77777777" w:rsidR="004A3DEA" w:rsidRDefault="004A3DEA">
      <w:pPr>
        <w:rPr>
          <w:rFonts w:eastAsia="Times New Roman" w:cstheme="minorHAnsi"/>
          <w:b/>
          <w:u w:val="single"/>
          <w:lang w:eastAsia="sk-SK"/>
        </w:rPr>
      </w:pPr>
      <w:r>
        <w:rPr>
          <w:rFonts w:eastAsia="Times New Roman" w:cstheme="minorHAnsi"/>
          <w:b/>
          <w:u w:val="single"/>
          <w:lang w:eastAsia="sk-SK"/>
        </w:rPr>
        <w:br w:type="page"/>
      </w:r>
    </w:p>
    <w:p w14:paraId="1DF0C3B2" w14:textId="7B5FE681" w:rsidR="00933DB0" w:rsidRPr="001D0F9A" w:rsidRDefault="00F43D22" w:rsidP="00933DB0">
      <w:pPr>
        <w:spacing w:before="300" w:after="300" w:line="240" w:lineRule="auto"/>
        <w:rPr>
          <w:rFonts w:eastAsia="Times New Roman" w:cstheme="minorHAnsi"/>
          <w:u w:val="single"/>
          <w:lang w:eastAsia="sk-SK"/>
        </w:rPr>
      </w:pPr>
      <w:r>
        <w:rPr>
          <w:rFonts w:eastAsia="Times New Roman" w:cstheme="minorHAnsi"/>
          <w:b/>
          <w:u w:val="single"/>
          <w:lang w:eastAsia="sk-SK"/>
        </w:rPr>
        <w:lastRenderedPageBreak/>
        <w:t>2</w:t>
      </w:r>
      <w:r w:rsidR="004A3DEA">
        <w:rPr>
          <w:rFonts w:eastAsia="Times New Roman" w:cstheme="minorHAnsi"/>
          <w:b/>
          <w:u w:val="single"/>
          <w:lang w:eastAsia="sk-SK"/>
        </w:rPr>
        <w:t xml:space="preserve">. </w:t>
      </w:r>
      <w:r w:rsidR="00933DB0" w:rsidRPr="001D0F9A">
        <w:rPr>
          <w:rFonts w:eastAsia="Times New Roman" w:cstheme="minorHAnsi"/>
          <w:b/>
          <w:u w:val="single"/>
          <w:lang w:eastAsia="sk-SK"/>
        </w:rPr>
        <w:t>Technická a odborná spôsobilosť</w:t>
      </w:r>
    </w:p>
    <w:p w14:paraId="38903B09" w14:textId="77777777" w:rsidR="00933DB0" w:rsidRPr="001D0F9A" w:rsidRDefault="00933DB0" w:rsidP="00933DB0">
      <w:pPr>
        <w:pStyle w:val="Bezriadkovania"/>
        <w:rPr>
          <w:rFonts w:cstheme="minorHAnsi"/>
          <w:b/>
          <w:lang w:eastAsia="sk-SK"/>
        </w:rPr>
      </w:pPr>
      <w:r w:rsidRPr="001D0F9A">
        <w:rPr>
          <w:rFonts w:cstheme="minorHAnsi"/>
          <w:b/>
          <w:lang w:eastAsia="sk-SK"/>
        </w:rPr>
        <w:t>Zoznam a krátky opis kritérií výberu</w:t>
      </w:r>
    </w:p>
    <w:p w14:paraId="21A613B0" w14:textId="77777777" w:rsidR="00C14047" w:rsidRPr="00C14047" w:rsidRDefault="00C14047" w:rsidP="00C14047">
      <w:pPr>
        <w:spacing w:line="240" w:lineRule="auto"/>
        <w:jc w:val="both"/>
        <w:rPr>
          <w:rFonts w:cstheme="minorHAnsi"/>
          <w:lang w:eastAsia="sk-SK"/>
        </w:rPr>
      </w:pPr>
      <w:r w:rsidRPr="00C14047">
        <w:rPr>
          <w:rFonts w:cstheme="minorHAnsi"/>
          <w:b/>
          <w:lang w:eastAsia="sk-SK"/>
        </w:rPr>
        <w:t xml:space="preserve">§ 34 ods. 1 písm. a) zákona – </w:t>
      </w:r>
      <w:r w:rsidRPr="00C14047">
        <w:rPr>
          <w:rFonts w:cstheme="minorHAnsi"/>
          <w:lang w:eastAsia="sk-SK"/>
        </w:rPr>
        <w:t xml:space="preserve">verejný obstarávateľ požaduje predložiť zoznam dodávok tovaru za predchádzajúce 3 roky od vyhlásenia verejného obstarávania s uvedením cien, lehôt dodania a odberateľov; dokladom je referencia, ak odberateľom bol verejný obstarávateľ alebo obstarávateľ podľa zákona. </w:t>
      </w:r>
    </w:p>
    <w:p w14:paraId="7B4E0F3D" w14:textId="77777777" w:rsidR="00C14047" w:rsidRPr="00C14047" w:rsidRDefault="00C14047" w:rsidP="00C14047">
      <w:pPr>
        <w:spacing w:line="240" w:lineRule="auto"/>
        <w:jc w:val="both"/>
        <w:rPr>
          <w:rFonts w:cstheme="minorHAnsi"/>
          <w:b/>
          <w:lang w:eastAsia="sk-SK"/>
        </w:rPr>
      </w:pPr>
      <w:r w:rsidRPr="00C14047">
        <w:rPr>
          <w:rFonts w:cstheme="minorHAnsi"/>
          <w:lang w:eastAsia="sk-SK"/>
        </w:rPr>
        <w:t>Za vyhlásenie verejného obstarávania sa považuje zverejnenie oznámenia o vyhlásení verejného obstarávania v Úradnom vestníku Európskej únie alebo vo Vestníku verejného obstarávania, podľa toho, ktorá skutočnosť nastane skôr.</w:t>
      </w:r>
    </w:p>
    <w:p w14:paraId="4FAB25B0" w14:textId="77777777" w:rsidR="00C14047" w:rsidRPr="00C14047" w:rsidRDefault="00C14047" w:rsidP="00C14047">
      <w:pPr>
        <w:spacing w:line="240" w:lineRule="auto"/>
        <w:jc w:val="both"/>
        <w:rPr>
          <w:rFonts w:cstheme="minorHAnsi"/>
          <w:b/>
          <w:u w:val="single"/>
          <w:lang w:eastAsia="sk-SK"/>
        </w:rPr>
      </w:pPr>
      <w:r w:rsidRPr="00C14047">
        <w:rPr>
          <w:rFonts w:cstheme="minorHAnsi"/>
          <w:b/>
          <w:u w:val="single"/>
          <w:lang w:eastAsia="sk-SK"/>
        </w:rPr>
        <w:t>Minimálna požadovaná úroveň štandardov:</w:t>
      </w:r>
    </w:p>
    <w:p w14:paraId="73D1B304" w14:textId="0BB91620" w:rsidR="00C14047" w:rsidRDefault="00C14047" w:rsidP="00C14047">
      <w:pPr>
        <w:spacing w:line="240" w:lineRule="auto"/>
        <w:jc w:val="both"/>
        <w:rPr>
          <w:rFonts w:cstheme="minorHAnsi"/>
          <w:b/>
          <w:lang w:eastAsia="sk-SK"/>
        </w:rPr>
      </w:pPr>
      <w:r w:rsidRPr="00C14047">
        <w:rPr>
          <w:rFonts w:cstheme="minorHAnsi"/>
          <w:b/>
          <w:lang w:eastAsia="sk-SK"/>
        </w:rPr>
        <w:t>Splnenie vyššie uvedeného uchádzač preukáže predložením zoznamu dodávok tovaru za predchádzajúce tri roky od vyhlásenia verejného obstarávania, potvrdzujúce dodanie tovaru rovnakého alebo obdobného charakteru ako je požadovaný predmet zák</w:t>
      </w:r>
      <w:r w:rsidR="002970D4">
        <w:rPr>
          <w:rFonts w:cstheme="minorHAnsi"/>
          <w:b/>
          <w:lang w:eastAsia="sk-SK"/>
        </w:rPr>
        <w:t>azky (osobné automobily) v minim</w:t>
      </w:r>
      <w:r w:rsidRPr="00C14047">
        <w:rPr>
          <w:rFonts w:cstheme="minorHAnsi"/>
          <w:b/>
          <w:lang w:eastAsia="sk-SK"/>
        </w:rPr>
        <w:t>álnej súhrnn</w:t>
      </w:r>
      <w:r>
        <w:rPr>
          <w:rFonts w:cstheme="minorHAnsi"/>
          <w:b/>
          <w:lang w:eastAsia="sk-SK"/>
        </w:rPr>
        <w:t>ej hodnote</w:t>
      </w:r>
      <w:r w:rsidR="002970D4">
        <w:rPr>
          <w:rFonts w:cstheme="minorHAnsi"/>
          <w:b/>
          <w:lang w:eastAsia="sk-SK"/>
        </w:rPr>
        <w:t>:</w:t>
      </w:r>
    </w:p>
    <w:p w14:paraId="03283EDE" w14:textId="01486A29" w:rsidR="00844129" w:rsidRDefault="002970D4" w:rsidP="002970D4">
      <w:pPr>
        <w:spacing w:after="0" w:line="240" w:lineRule="auto"/>
        <w:jc w:val="both"/>
        <w:rPr>
          <w:rFonts w:cstheme="minorHAnsi"/>
          <w:b/>
          <w:lang w:eastAsia="sk-SK"/>
        </w:rPr>
      </w:pPr>
      <w:r>
        <w:rPr>
          <w:rFonts w:cstheme="minorHAnsi"/>
          <w:b/>
          <w:lang w:eastAsia="sk-SK"/>
        </w:rPr>
        <w:t xml:space="preserve">Pre časť 1: </w:t>
      </w:r>
      <w:r w:rsidRPr="002970D4">
        <w:rPr>
          <w:rFonts w:cstheme="minorHAnsi"/>
          <w:b/>
          <w:lang w:eastAsia="sk-SK"/>
        </w:rPr>
        <w:t xml:space="preserve">vo výške </w:t>
      </w:r>
      <w:r>
        <w:rPr>
          <w:rFonts w:cstheme="minorHAnsi"/>
          <w:b/>
          <w:lang w:eastAsia="sk-SK"/>
        </w:rPr>
        <w:t xml:space="preserve">270 000,- </w:t>
      </w:r>
      <w:r w:rsidRPr="002970D4">
        <w:rPr>
          <w:rFonts w:cstheme="minorHAnsi"/>
          <w:b/>
          <w:lang w:eastAsia="sk-SK"/>
        </w:rPr>
        <w:t>EUR bez DPH</w:t>
      </w:r>
      <w:r w:rsidR="00844129">
        <w:rPr>
          <w:rFonts w:cstheme="minorHAnsi"/>
          <w:b/>
          <w:lang w:eastAsia="sk-SK"/>
        </w:rPr>
        <w:t xml:space="preserve"> (dvestosedemdesiattisíc EUR bez DPH)</w:t>
      </w:r>
    </w:p>
    <w:p w14:paraId="56EF9399" w14:textId="02E99E47" w:rsidR="002970D4" w:rsidRDefault="002970D4" w:rsidP="002970D4">
      <w:pPr>
        <w:spacing w:after="0" w:line="240" w:lineRule="auto"/>
        <w:jc w:val="both"/>
        <w:rPr>
          <w:rFonts w:cstheme="minorHAnsi"/>
          <w:b/>
          <w:lang w:eastAsia="sk-SK"/>
        </w:rPr>
      </w:pPr>
      <w:r>
        <w:rPr>
          <w:rFonts w:cstheme="minorHAnsi"/>
          <w:b/>
          <w:lang w:eastAsia="sk-SK"/>
        </w:rPr>
        <w:t xml:space="preserve">Pre časť 2: </w:t>
      </w:r>
      <w:r w:rsidRPr="002970D4">
        <w:rPr>
          <w:rFonts w:cstheme="minorHAnsi"/>
          <w:b/>
          <w:lang w:eastAsia="sk-SK"/>
        </w:rPr>
        <w:t xml:space="preserve">vo výške </w:t>
      </w:r>
      <w:r>
        <w:rPr>
          <w:rFonts w:cstheme="minorHAnsi"/>
          <w:b/>
          <w:lang w:eastAsia="sk-SK"/>
        </w:rPr>
        <w:t>70 000,-</w:t>
      </w:r>
      <w:r w:rsidRPr="002970D4">
        <w:rPr>
          <w:rFonts w:cstheme="minorHAnsi"/>
          <w:b/>
          <w:lang w:eastAsia="sk-SK"/>
        </w:rPr>
        <w:t xml:space="preserve"> EUR bez DPH</w:t>
      </w:r>
      <w:r w:rsidR="00844129">
        <w:rPr>
          <w:rFonts w:cstheme="minorHAnsi"/>
          <w:b/>
          <w:lang w:eastAsia="sk-SK"/>
        </w:rPr>
        <w:t xml:space="preserve"> (sedemdesiattisíc EUR bez DPH)</w:t>
      </w:r>
    </w:p>
    <w:p w14:paraId="2B35B65A" w14:textId="6977FF23" w:rsidR="002970D4" w:rsidRDefault="002970D4" w:rsidP="002970D4">
      <w:pPr>
        <w:spacing w:after="0" w:line="240" w:lineRule="auto"/>
        <w:jc w:val="both"/>
        <w:rPr>
          <w:rFonts w:cstheme="minorHAnsi"/>
          <w:b/>
          <w:lang w:eastAsia="sk-SK"/>
        </w:rPr>
      </w:pPr>
      <w:r>
        <w:rPr>
          <w:rFonts w:cstheme="minorHAnsi"/>
          <w:b/>
          <w:lang w:eastAsia="sk-SK"/>
        </w:rPr>
        <w:t xml:space="preserve">Pre časť 3: </w:t>
      </w:r>
      <w:r w:rsidRPr="002970D4">
        <w:rPr>
          <w:rFonts w:cstheme="minorHAnsi"/>
          <w:b/>
          <w:lang w:eastAsia="sk-SK"/>
        </w:rPr>
        <w:t xml:space="preserve">vo výške </w:t>
      </w:r>
      <w:r>
        <w:rPr>
          <w:rFonts w:cstheme="minorHAnsi"/>
          <w:b/>
          <w:lang w:eastAsia="sk-SK"/>
        </w:rPr>
        <w:t>10 000,-</w:t>
      </w:r>
      <w:r w:rsidRPr="002970D4">
        <w:rPr>
          <w:rFonts w:cstheme="minorHAnsi"/>
          <w:b/>
          <w:lang w:eastAsia="sk-SK"/>
        </w:rPr>
        <w:t xml:space="preserve"> EUR bez DPH</w:t>
      </w:r>
      <w:r w:rsidR="00844129">
        <w:rPr>
          <w:rFonts w:cstheme="minorHAnsi"/>
          <w:b/>
          <w:lang w:eastAsia="sk-SK"/>
        </w:rPr>
        <w:t xml:space="preserve"> (desaťtisíc EUR bez DPH)</w:t>
      </w:r>
    </w:p>
    <w:p w14:paraId="7669E917" w14:textId="49D40D9D" w:rsidR="002970D4" w:rsidRDefault="002970D4" w:rsidP="002970D4">
      <w:pPr>
        <w:spacing w:after="0" w:line="240" w:lineRule="auto"/>
        <w:jc w:val="both"/>
        <w:rPr>
          <w:rFonts w:cstheme="minorHAnsi"/>
          <w:b/>
          <w:lang w:eastAsia="sk-SK"/>
        </w:rPr>
      </w:pPr>
      <w:r>
        <w:rPr>
          <w:rFonts w:cstheme="minorHAnsi"/>
          <w:b/>
          <w:lang w:eastAsia="sk-SK"/>
        </w:rPr>
        <w:t xml:space="preserve">Pre časť 4: </w:t>
      </w:r>
      <w:r w:rsidRPr="002970D4">
        <w:rPr>
          <w:rFonts w:cstheme="minorHAnsi"/>
          <w:b/>
          <w:lang w:eastAsia="sk-SK"/>
        </w:rPr>
        <w:t xml:space="preserve">vo výške </w:t>
      </w:r>
      <w:r>
        <w:rPr>
          <w:rFonts w:cstheme="minorHAnsi"/>
          <w:b/>
          <w:lang w:eastAsia="sk-SK"/>
        </w:rPr>
        <w:t>10 000,-</w:t>
      </w:r>
      <w:r w:rsidRPr="002970D4">
        <w:rPr>
          <w:rFonts w:cstheme="minorHAnsi"/>
          <w:b/>
          <w:lang w:eastAsia="sk-SK"/>
        </w:rPr>
        <w:t xml:space="preserve"> EUR bez DPH</w:t>
      </w:r>
      <w:r w:rsidR="00844129">
        <w:rPr>
          <w:rFonts w:cstheme="minorHAnsi"/>
          <w:b/>
          <w:lang w:eastAsia="sk-SK"/>
        </w:rPr>
        <w:t xml:space="preserve"> (desaťtisíc EUR bez DPH)</w:t>
      </w:r>
    </w:p>
    <w:p w14:paraId="61FD2188" w14:textId="7A9CECE0" w:rsidR="002970D4" w:rsidRDefault="002970D4" w:rsidP="002970D4">
      <w:pPr>
        <w:spacing w:after="0" w:line="240" w:lineRule="auto"/>
        <w:jc w:val="both"/>
        <w:rPr>
          <w:rFonts w:cstheme="minorHAnsi"/>
          <w:b/>
          <w:lang w:eastAsia="sk-SK"/>
        </w:rPr>
      </w:pPr>
      <w:r>
        <w:rPr>
          <w:rFonts w:cstheme="minorHAnsi"/>
          <w:b/>
          <w:lang w:eastAsia="sk-SK"/>
        </w:rPr>
        <w:t xml:space="preserve">Pre časť 5: </w:t>
      </w:r>
      <w:r w:rsidRPr="002970D4">
        <w:rPr>
          <w:rFonts w:cstheme="minorHAnsi"/>
          <w:b/>
          <w:lang w:eastAsia="sk-SK"/>
        </w:rPr>
        <w:t xml:space="preserve">vo výške </w:t>
      </w:r>
      <w:r>
        <w:rPr>
          <w:rFonts w:cstheme="minorHAnsi"/>
          <w:b/>
          <w:lang w:eastAsia="sk-SK"/>
        </w:rPr>
        <w:t>25 000,-</w:t>
      </w:r>
      <w:r w:rsidRPr="002970D4">
        <w:rPr>
          <w:rFonts w:cstheme="minorHAnsi"/>
          <w:b/>
          <w:lang w:eastAsia="sk-SK"/>
        </w:rPr>
        <w:t xml:space="preserve"> EUR bez DPH</w:t>
      </w:r>
      <w:r w:rsidR="00844129">
        <w:rPr>
          <w:rFonts w:cstheme="minorHAnsi"/>
          <w:b/>
          <w:lang w:eastAsia="sk-SK"/>
        </w:rPr>
        <w:t xml:space="preserve"> (dvadsaťpäťtisíc EUR bez DPH)</w:t>
      </w:r>
    </w:p>
    <w:p w14:paraId="26C2DD39" w14:textId="77777777" w:rsidR="002970D4" w:rsidRPr="00C14047" w:rsidRDefault="002970D4" w:rsidP="00C14047">
      <w:pPr>
        <w:spacing w:line="240" w:lineRule="auto"/>
        <w:jc w:val="both"/>
        <w:rPr>
          <w:rFonts w:cstheme="minorHAnsi"/>
          <w:b/>
          <w:lang w:eastAsia="sk-SK"/>
        </w:rPr>
      </w:pPr>
    </w:p>
    <w:p w14:paraId="40430E18" w14:textId="438A0179" w:rsidR="00C14047" w:rsidRPr="00C14047" w:rsidRDefault="00C14047" w:rsidP="00C14047">
      <w:pPr>
        <w:spacing w:line="240" w:lineRule="auto"/>
        <w:jc w:val="both"/>
        <w:rPr>
          <w:rFonts w:cstheme="minorHAnsi"/>
          <w:b/>
          <w:lang w:eastAsia="sk-SK"/>
        </w:rPr>
      </w:pPr>
      <w:r>
        <w:rPr>
          <w:rFonts w:cstheme="minorHAnsi"/>
          <w:b/>
          <w:lang w:eastAsia="sk-SK"/>
        </w:rPr>
        <w:t>P</w:t>
      </w:r>
      <w:r w:rsidRPr="00C14047">
        <w:rPr>
          <w:rFonts w:cstheme="minorHAnsi"/>
          <w:b/>
          <w:lang w:eastAsia="sk-SK"/>
        </w:rPr>
        <w:t>ri prepočte inej meny na menu euro sa použije kurz Európskej centrálnej banky platný v deň odoslania oznámenia o vyhlásení verejného obstarávania na uverejnenie v Úradnom vestníku EÚ.</w:t>
      </w:r>
    </w:p>
    <w:p w14:paraId="47B356C1" w14:textId="77777777" w:rsidR="00C14047" w:rsidRPr="00C14047" w:rsidRDefault="00C14047" w:rsidP="00C14047">
      <w:pPr>
        <w:spacing w:line="240" w:lineRule="auto"/>
        <w:jc w:val="both"/>
        <w:rPr>
          <w:rFonts w:cstheme="minorHAnsi"/>
          <w:b/>
          <w:lang w:eastAsia="sk-SK"/>
        </w:rPr>
      </w:pPr>
      <w:r w:rsidRPr="00C14047">
        <w:rPr>
          <w:rFonts w:cstheme="minorHAnsi"/>
          <w:b/>
          <w:u w:val="single"/>
          <w:lang w:eastAsia="sk-SK"/>
        </w:rPr>
        <w:t>Zo zoznamu dodávok tovaru predloženého uchádzačom</w:t>
      </w:r>
      <w:r w:rsidRPr="00C14047">
        <w:rPr>
          <w:rFonts w:cstheme="minorHAnsi"/>
          <w:b/>
          <w:lang w:eastAsia="sk-SK"/>
        </w:rPr>
        <w:t xml:space="preserve">, musia vyplývať vyššie uvedené požiadavky, a to tak po formálnej ako aj obsahovej stránke (najmä: názov/obchodné meno, sídlo/miesto odberateľa, predmet zmluvy/plnenia - stručný opis predmetu plnenia, zmluvná cena tovaru v EUR bez DPH a skutočne uhradená cena za dodaný tovar s odôvodnením rozdielu cien, zmluvná lehota dodania a skutočná lehota dodania s odôvodnením rozdielu lehoty dodania, kontaktná osoba za odberateľa - meno, priezvisko, pozícia, aktuálne telefónne číslo, e-mail za účelom prípadného overenia predkladaných informácií). </w:t>
      </w:r>
    </w:p>
    <w:p w14:paraId="4613F2F2" w14:textId="77777777" w:rsidR="00C14047" w:rsidRPr="00C14047" w:rsidRDefault="00C14047" w:rsidP="00C14047">
      <w:pPr>
        <w:spacing w:line="240" w:lineRule="auto"/>
        <w:jc w:val="both"/>
        <w:rPr>
          <w:rFonts w:cstheme="minorHAnsi"/>
          <w:b/>
          <w:lang w:eastAsia="sk-SK"/>
        </w:rPr>
      </w:pPr>
      <w:r w:rsidRPr="00C14047">
        <w:rPr>
          <w:rFonts w:cstheme="minorHAnsi"/>
          <w:b/>
          <w:lang w:eastAsia="sk-SK"/>
        </w:rPr>
        <w:t xml:space="preserve">Ak odberateľom bol verejný obstarávateľ alebo obstarávateľ podľa tohto zákona, súčasťou zoznamu dodávok tovaru musia byť </w:t>
      </w:r>
      <w:r w:rsidRPr="00C14047">
        <w:rPr>
          <w:rFonts w:cstheme="minorHAnsi"/>
          <w:b/>
          <w:u w:val="single"/>
          <w:lang w:eastAsia="sk-SK"/>
        </w:rPr>
        <w:t>referencia/referencie</w:t>
      </w:r>
      <w:r w:rsidRPr="00C14047">
        <w:rPr>
          <w:rFonts w:cstheme="minorHAnsi"/>
          <w:b/>
          <w:lang w:eastAsia="sk-SK"/>
        </w:rPr>
        <w:t xml:space="preserve"> alebo ekvivalentný/ekvivalentné doklad/doklady v súlade so zákonom.</w:t>
      </w:r>
    </w:p>
    <w:p w14:paraId="0D6880C3" w14:textId="77777777" w:rsidR="00C14047" w:rsidRDefault="00C14047" w:rsidP="00933DB0">
      <w:pPr>
        <w:spacing w:line="240" w:lineRule="auto"/>
        <w:jc w:val="both"/>
        <w:rPr>
          <w:rFonts w:eastAsia="Times New Roman" w:cstheme="minorHAnsi"/>
          <w:lang w:eastAsia="sk-SK"/>
        </w:rPr>
      </w:pPr>
    </w:p>
    <w:p w14:paraId="30412262" w14:textId="20675AAC" w:rsidR="00933DB0" w:rsidRPr="001D0F9A" w:rsidRDefault="00933DB0" w:rsidP="00933DB0">
      <w:pPr>
        <w:spacing w:line="240" w:lineRule="auto"/>
        <w:jc w:val="both"/>
        <w:rPr>
          <w:rFonts w:eastAsia="Times New Roman" w:cstheme="minorHAnsi"/>
          <w:lang w:eastAsia="sk-SK"/>
        </w:rPr>
      </w:pPr>
      <w:r w:rsidRPr="001D0F9A">
        <w:rPr>
          <w:rFonts w:eastAsia="Times New Roman" w:cstheme="minorHAnsi"/>
          <w:lang w:eastAsia="sk-SK"/>
        </w:rPr>
        <w:t xml:space="preserve">V prípade, že uchádzač využije na preukázanie technickej spôsobilosti alebo odbornej spôsobilosti technické a odborné kapacity inej osoby, bez ohľadu na ich právny vzťah v čase podania ponuky, je uchádzač povinný verejnému obstarávateľovi preukázať, že pri plnení </w:t>
      </w:r>
      <w:bookmarkStart w:id="0" w:name="_GoBack"/>
      <w:bookmarkEnd w:id="0"/>
      <w:r w:rsidR="001C6874">
        <w:rPr>
          <w:rFonts w:eastAsia="Times New Roman" w:cstheme="minorHAnsi"/>
          <w:lang w:eastAsia="sk-SK"/>
        </w:rPr>
        <w:t>zmluvy</w:t>
      </w:r>
      <w:r w:rsidRPr="001D0F9A">
        <w:rPr>
          <w:rFonts w:eastAsia="Times New Roman" w:cstheme="minorHAnsi"/>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h) a ods. 7 zákona; oprávnenie dodávať tovar a poskytovať služby preukazuje a vo vzťahu k tej časti predmetu zákazky, na ktorú boli kapacity uchádzačovi poskytnuté.</w:t>
      </w:r>
    </w:p>
    <w:p w14:paraId="4DD0E8D6" w14:textId="77777777" w:rsidR="00933DB0" w:rsidRPr="001D0F9A" w:rsidRDefault="00933DB0" w:rsidP="00933DB0">
      <w:pPr>
        <w:spacing w:line="240" w:lineRule="auto"/>
        <w:jc w:val="both"/>
        <w:rPr>
          <w:rFonts w:eastAsia="Times New Roman" w:cstheme="minorHAnsi"/>
          <w:lang w:eastAsia="sk-SK"/>
        </w:rPr>
      </w:pPr>
      <w:r w:rsidRPr="001D0F9A">
        <w:rPr>
          <w:rFonts w:eastAsia="Times New Roman" w:cstheme="minorHAnsi"/>
          <w:lang w:eastAsia="sk-SK"/>
        </w:rPr>
        <w:lastRenderedPageBreak/>
        <w:t xml:space="preserve">V prípade uchádzača, ktorého tvorí skupina dodávateľov zúčastnená na verejnom obstarávaní, sa požaduje preukázanie splnenia podmienok účasti podľa tohto bodu súťažných podkladov za všetkých členov skupiny spoločne. </w:t>
      </w:r>
    </w:p>
    <w:p w14:paraId="62812E69" w14:textId="77777777" w:rsidR="00933DB0" w:rsidRPr="001D0F9A" w:rsidRDefault="00933DB0" w:rsidP="00933DB0">
      <w:pPr>
        <w:spacing w:line="240" w:lineRule="auto"/>
        <w:jc w:val="both"/>
        <w:rPr>
          <w:rFonts w:eastAsia="Times New Roman" w:cstheme="minorHAnsi"/>
          <w:lang w:eastAsia="sk-SK"/>
        </w:rPr>
      </w:pPr>
      <w:r w:rsidRPr="001D0F9A">
        <w:rPr>
          <w:rFonts w:eastAsia="Times New Roman" w:cstheme="minorHAnsi"/>
          <w:lang w:eastAsia="sk-SK"/>
        </w:rPr>
        <w:t>Uchádzačom predkladané doklady musia byť v rovnakej, alebo ekvivalentnej forme podľa uvedenej požiadavky verejného obstarávateľa, pričom z týchto dokladov preukazujúcich spôsobilosť podľa § 33 a § 34 zákona musí byť zrejmé splnenie vyššie identifikovaných minimálnych úrovní požadovaných verejným obstarávateľom a rovnako musí byť zrejmé, že preukazovanie sa týka osoby uchádzača.</w:t>
      </w:r>
    </w:p>
    <w:p w14:paraId="10DE55BA" w14:textId="77777777" w:rsidR="00933DB0" w:rsidRPr="001D0F9A" w:rsidRDefault="00933DB0" w:rsidP="00933DB0">
      <w:pPr>
        <w:spacing w:line="240" w:lineRule="auto"/>
        <w:jc w:val="both"/>
        <w:rPr>
          <w:rFonts w:eastAsia="Times New Roman" w:cstheme="minorHAnsi"/>
          <w:lang w:eastAsia="sk-SK"/>
        </w:rPr>
      </w:pPr>
      <w:r w:rsidRPr="001D0F9A">
        <w:rPr>
          <w:rFonts w:eastAsia="Times New Roman" w:cstheme="minorHAnsi"/>
          <w:lang w:eastAsia="sk-SK"/>
        </w:rPr>
        <w:t>Uchádzač môže predbežne nahradiť doklady preukazujúce splnenie podmienok účasti Jednotným európskym dokumentom pre obstarávanie (JED) podľa § 39 zákona, spĺňajúcim náležitosti podľa § 39 ods. 2 zákona, pričom ak uchádzač preukazuje finančné a ekonomické postavenie alebo technickú spôsobilosť alebo odbornú spôsobilosť prostredníctvom inej osoby/osôb, JED predloží za svoju osobu a za každú z osôb, ktorých zdroje a/alebo kapacity využíva.</w:t>
      </w:r>
    </w:p>
    <w:p w14:paraId="3C8B8368" w14:textId="77777777" w:rsidR="00933DB0" w:rsidRPr="001D0F9A" w:rsidRDefault="00933DB0" w:rsidP="00933DB0">
      <w:pPr>
        <w:spacing w:line="240" w:lineRule="auto"/>
        <w:jc w:val="both"/>
        <w:rPr>
          <w:rFonts w:eastAsia="Times New Roman" w:cstheme="minorHAnsi"/>
          <w:lang w:eastAsia="sk-SK"/>
        </w:rPr>
      </w:pPr>
      <w:r w:rsidRPr="001D0F9A">
        <w:rPr>
          <w:rFonts w:eastAsia="Times New Roman" w:cstheme="minorHAnsi"/>
          <w:lang w:eastAsia="sk-SK"/>
        </w:rPr>
        <w:t>V prípade, že uchádzača tvorí skupina dodávateľov zúčastnená vo verejnom obstarávaní, uchádzač vyplní a predloží JED s požadovanými informáciami za každého člena skupiny dodávateľov.</w:t>
      </w:r>
    </w:p>
    <w:p w14:paraId="4F3D0785" w14:textId="48B73F3B" w:rsidR="00933DB0" w:rsidRPr="001D0F9A" w:rsidRDefault="00933DB0" w:rsidP="00933DB0">
      <w:pPr>
        <w:pStyle w:val="Default"/>
        <w:jc w:val="both"/>
        <w:rPr>
          <w:rFonts w:asciiTheme="minorHAnsi" w:hAnsiTheme="minorHAnsi" w:cstheme="minorHAnsi"/>
          <w:sz w:val="22"/>
          <w:szCs w:val="22"/>
        </w:rPr>
      </w:pPr>
      <w:r w:rsidRPr="001D0F9A">
        <w:rPr>
          <w:rFonts w:asciiTheme="minorHAnsi" w:hAnsiTheme="minorHAnsi" w:cstheme="minorHAnsi"/>
          <w:sz w:val="22"/>
          <w:szCs w:val="22"/>
        </w:rPr>
        <w:t>Ak uchádzač nevyužije na preukázanie splnenia podmienok účasti jednotný európsky dokument podľa § 39zákona a bodu 16.2 predmetných súťažných podkladov, v takom prípade v rámci svojej ponuky predkladá naskenované originály alebo úradne overené kópie dokladov na preukázanie splnenia podmienok účasti vo formáte .pdf, alebo v pôvodnej elektronickej podobe podľa bodu 10.3 týchto súťažných podkladov a vložené do ponuky.</w:t>
      </w:r>
      <w:r w:rsidR="00CF089A">
        <w:rPr>
          <w:rFonts w:asciiTheme="minorHAnsi" w:hAnsiTheme="minorHAnsi" w:cstheme="minorHAnsi"/>
          <w:sz w:val="22"/>
          <w:szCs w:val="22"/>
        </w:rPr>
        <w:t xml:space="preserve"> </w:t>
      </w:r>
    </w:p>
    <w:p w14:paraId="735651E1" w14:textId="77777777" w:rsidR="00933DB0" w:rsidRPr="001D0F9A" w:rsidRDefault="00933DB0" w:rsidP="00933DB0">
      <w:pPr>
        <w:spacing w:line="240" w:lineRule="auto"/>
        <w:jc w:val="both"/>
        <w:rPr>
          <w:rFonts w:eastAsia="Times New Roman" w:cstheme="minorHAnsi"/>
          <w:lang w:eastAsia="sk-SK"/>
        </w:rPr>
      </w:pPr>
    </w:p>
    <w:p w14:paraId="51901967" w14:textId="77777777" w:rsidR="00475A53" w:rsidRDefault="00475A53"/>
    <w:sectPr w:rsidR="00475A53" w:rsidSect="00F0483D">
      <w:headerReference w:type="default" r:id="rId7"/>
      <w:footerReference w:type="default" r:id="rId8"/>
      <w:pgSz w:w="11906" w:h="16838"/>
      <w:pgMar w:top="1417" w:right="1417" w:bottom="1417" w:left="1417"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7888E" w14:textId="77777777" w:rsidR="002623D7" w:rsidRDefault="002623D7">
      <w:pPr>
        <w:spacing w:after="0" w:line="240" w:lineRule="auto"/>
      </w:pPr>
      <w:r>
        <w:separator/>
      </w:r>
    </w:p>
  </w:endnote>
  <w:endnote w:type="continuationSeparator" w:id="0">
    <w:p w14:paraId="1865D8AC" w14:textId="77777777" w:rsidR="002623D7" w:rsidRDefault="00262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Liberation Sans">
    <w:altName w:val="Arial"/>
    <w:charset w:val="01"/>
    <w:family w:val="swiss"/>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cs="Times New Roman"/>
        <w:sz w:val="20"/>
        <w:szCs w:val="18"/>
      </w:rPr>
      <w:id w:val="614954420"/>
      <w:docPartObj>
        <w:docPartGallery w:val="Page Numbers (Bottom of Page)"/>
        <w:docPartUnique/>
      </w:docPartObj>
    </w:sdtPr>
    <w:sdtEndPr/>
    <w:sdtContent>
      <w:sdt>
        <w:sdtPr>
          <w:rPr>
            <w:rFonts w:ascii="Arial Narrow" w:hAnsi="Arial Narrow" w:cs="Times New Roman"/>
            <w:sz w:val="20"/>
            <w:szCs w:val="18"/>
          </w:rPr>
          <w:id w:val="860082579"/>
          <w:docPartObj>
            <w:docPartGallery w:val="Page Numbers (Top of Page)"/>
            <w:docPartUnique/>
          </w:docPartObj>
        </w:sdtPr>
        <w:sdtEndPr/>
        <w:sdtContent>
          <w:p w14:paraId="20DEE644" w14:textId="63F7CBFA" w:rsidR="003D4305" w:rsidRPr="003D4305" w:rsidRDefault="00933DB0">
            <w:pPr>
              <w:pStyle w:val="Pta"/>
              <w:jc w:val="right"/>
              <w:rPr>
                <w:rFonts w:ascii="Arial Narrow" w:hAnsi="Arial Narrow" w:cs="Times New Roman"/>
                <w:sz w:val="20"/>
                <w:szCs w:val="18"/>
              </w:rPr>
            </w:pPr>
            <w:r w:rsidRPr="003D4305">
              <w:rPr>
                <w:rFonts w:ascii="Arial Narrow" w:hAnsi="Arial Narrow" w:cs="Times New Roman"/>
                <w:sz w:val="20"/>
                <w:szCs w:val="18"/>
              </w:rPr>
              <w:t xml:space="preserve"> </w:t>
            </w:r>
            <w:r w:rsidRPr="003D4305">
              <w:rPr>
                <w:rFonts w:ascii="Arial Narrow" w:hAnsi="Arial Narrow" w:cs="Times New Roman"/>
                <w:bCs/>
                <w:sz w:val="20"/>
                <w:szCs w:val="18"/>
              </w:rPr>
              <w:fldChar w:fldCharType="begin"/>
            </w:r>
            <w:r w:rsidRPr="003D4305">
              <w:rPr>
                <w:rFonts w:ascii="Arial Narrow" w:hAnsi="Arial Narrow" w:cs="Times New Roman"/>
                <w:bCs/>
                <w:sz w:val="20"/>
                <w:szCs w:val="18"/>
              </w:rPr>
              <w:instrText>PAGE</w:instrText>
            </w:r>
            <w:r w:rsidRPr="003D4305">
              <w:rPr>
                <w:rFonts w:ascii="Arial Narrow" w:hAnsi="Arial Narrow" w:cs="Times New Roman"/>
                <w:bCs/>
                <w:sz w:val="20"/>
                <w:szCs w:val="18"/>
              </w:rPr>
              <w:fldChar w:fldCharType="separate"/>
            </w:r>
            <w:r w:rsidR="00F51964">
              <w:rPr>
                <w:rFonts w:ascii="Arial Narrow" w:hAnsi="Arial Narrow" w:cs="Times New Roman"/>
                <w:bCs/>
                <w:noProof/>
                <w:sz w:val="20"/>
                <w:szCs w:val="18"/>
              </w:rPr>
              <w:t>4</w:t>
            </w:r>
            <w:r w:rsidRPr="003D4305">
              <w:rPr>
                <w:rFonts w:ascii="Arial Narrow" w:hAnsi="Arial Narrow" w:cs="Times New Roman"/>
                <w:bCs/>
                <w:sz w:val="20"/>
                <w:szCs w:val="18"/>
              </w:rPr>
              <w:fldChar w:fldCharType="end"/>
            </w:r>
            <w:r w:rsidRPr="003D4305">
              <w:rPr>
                <w:rFonts w:ascii="Arial Narrow" w:hAnsi="Arial Narrow" w:cs="Times New Roman"/>
                <w:sz w:val="20"/>
                <w:szCs w:val="18"/>
              </w:rPr>
              <w:t xml:space="preserve"> / </w:t>
            </w:r>
            <w:r w:rsidRPr="003D4305">
              <w:rPr>
                <w:rFonts w:ascii="Arial Narrow" w:hAnsi="Arial Narrow" w:cs="Times New Roman"/>
                <w:bCs/>
                <w:sz w:val="20"/>
                <w:szCs w:val="18"/>
              </w:rPr>
              <w:fldChar w:fldCharType="begin"/>
            </w:r>
            <w:r w:rsidRPr="003D4305">
              <w:rPr>
                <w:rFonts w:ascii="Arial Narrow" w:hAnsi="Arial Narrow" w:cs="Times New Roman"/>
                <w:bCs/>
                <w:sz w:val="20"/>
                <w:szCs w:val="18"/>
              </w:rPr>
              <w:instrText>NUMPAGES</w:instrText>
            </w:r>
            <w:r w:rsidRPr="003D4305">
              <w:rPr>
                <w:rFonts w:ascii="Arial Narrow" w:hAnsi="Arial Narrow" w:cs="Times New Roman"/>
                <w:bCs/>
                <w:sz w:val="20"/>
                <w:szCs w:val="18"/>
              </w:rPr>
              <w:fldChar w:fldCharType="separate"/>
            </w:r>
            <w:r w:rsidR="00F51964">
              <w:rPr>
                <w:rFonts w:ascii="Arial Narrow" w:hAnsi="Arial Narrow" w:cs="Times New Roman"/>
                <w:bCs/>
                <w:noProof/>
                <w:sz w:val="20"/>
                <w:szCs w:val="18"/>
              </w:rPr>
              <w:t>4</w:t>
            </w:r>
            <w:r w:rsidRPr="003D4305">
              <w:rPr>
                <w:rFonts w:ascii="Arial Narrow" w:hAnsi="Arial Narrow" w:cs="Times New Roman"/>
                <w:bCs/>
                <w:sz w:val="20"/>
                <w:szCs w:val="18"/>
              </w:rPr>
              <w:fldChar w:fldCharType="end"/>
            </w:r>
          </w:p>
        </w:sdtContent>
      </w:sdt>
    </w:sdtContent>
  </w:sdt>
  <w:p w14:paraId="22348C1B" w14:textId="77777777" w:rsidR="003D4305" w:rsidRDefault="002623D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705A5" w14:textId="77777777" w:rsidR="002623D7" w:rsidRDefault="002623D7">
      <w:pPr>
        <w:spacing w:after="0" w:line="240" w:lineRule="auto"/>
      </w:pPr>
      <w:r>
        <w:separator/>
      </w:r>
    </w:p>
  </w:footnote>
  <w:footnote w:type="continuationSeparator" w:id="0">
    <w:p w14:paraId="703F8E2D" w14:textId="77777777" w:rsidR="002623D7" w:rsidRDefault="002623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D5C2F" w14:textId="77777777" w:rsidR="00551242" w:rsidRPr="00F0483D" w:rsidRDefault="00933DB0" w:rsidP="00F0483D">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4</w:t>
    </w:r>
    <w:r w:rsidRPr="007C6581">
      <w:rPr>
        <w:rFonts w:ascii="Arial Narrow" w:hAnsi="Arial Narrow"/>
        <w:sz w:val="18"/>
        <w:szCs w:val="18"/>
      </w:rPr>
      <w:t xml:space="preserve">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87D4C"/>
    <w:multiLevelType w:val="multilevel"/>
    <w:tmpl w:val="7584B064"/>
    <w:lvl w:ilvl="0">
      <w:start w:val="1"/>
      <w:numFmt w:val="lowerLetter"/>
      <w:lvlText w:val="%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6A31FAB"/>
    <w:multiLevelType w:val="hybridMultilevel"/>
    <w:tmpl w:val="16340EDA"/>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 w15:restartNumberingAfterBreak="0">
    <w:nsid w:val="52E55663"/>
    <w:multiLevelType w:val="multilevel"/>
    <w:tmpl w:val="2E1E849C"/>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4857F4F"/>
    <w:multiLevelType w:val="multilevel"/>
    <w:tmpl w:val="2B1881FE"/>
    <w:lvl w:ilvl="0">
      <w:start w:val="1"/>
      <w:numFmt w:val="lowerLetter"/>
      <w:lvlText w:val="%1)"/>
      <w:lvlJc w:val="left"/>
      <w:rPr>
        <w:rFonts w:ascii="Arial Narrow" w:eastAsia="Tahoma" w:hAnsi="Arial Narrow" w:cs="Times New Roman"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D4E7FB2"/>
    <w:multiLevelType w:val="hybridMultilevel"/>
    <w:tmpl w:val="338037CC"/>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num w:numId="1">
    <w:abstractNumId w:val="3"/>
  </w:num>
  <w:num w:numId="2">
    <w:abstractNumId w:val="2"/>
  </w:num>
  <w:num w:numId="3">
    <w:abstractNumId w:val="0"/>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DB0"/>
    <w:rsid w:val="00196675"/>
    <w:rsid w:val="001A3393"/>
    <w:rsid w:val="001C6874"/>
    <w:rsid w:val="002623D7"/>
    <w:rsid w:val="002970D4"/>
    <w:rsid w:val="00304C18"/>
    <w:rsid w:val="0033330A"/>
    <w:rsid w:val="0040068A"/>
    <w:rsid w:val="00475A53"/>
    <w:rsid w:val="004A3DEA"/>
    <w:rsid w:val="004C0A03"/>
    <w:rsid w:val="004C185A"/>
    <w:rsid w:val="004C6600"/>
    <w:rsid w:val="00521096"/>
    <w:rsid w:val="00657ED4"/>
    <w:rsid w:val="00830E97"/>
    <w:rsid w:val="00844129"/>
    <w:rsid w:val="00847F87"/>
    <w:rsid w:val="008B3F63"/>
    <w:rsid w:val="00933DB0"/>
    <w:rsid w:val="009B379E"/>
    <w:rsid w:val="009D37F2"/>
    <w:rsid w:val="009F042F"/>
    <w:rsid w:val="00A26EED"/>
    <w:rsid w:val="00A62F28"/>
    <w:rsid w:val="00AC1662"/>
    <w:rsid w:val="00B24CC7"/>
    <w:rsid w:val="00B357C1"/>
    <w:rsid w:val="00B81472"/>
    <w:rsid w:val="00C14047"/>
    <w:rsid w:val="00C31CEA"/>
    <w:rsid w:val="00C477AB"/>
    <w:rsid w:val="00CF089A"/>
    <w:rsid w:val="00D83E56"/>
    <w:rsid w:val="00E60C7C"/>
    <w:rsid w:val="00F178B9"/>
    <w:rsid w:val="00F43D22"/>
    <w:rsid w:val="00F5196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F91FF"/>
  <w15:chartTrackingRefBased/>
  <w15:docId w15:val="{1C050E36-8AC4-40B4-880F-67D22A602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33DB0"/>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933DB0"/>
    <w:pPr>
      <w:spacing w:after="0" w:line="240" w:lineRule="auto"/>
    </w:pPr>
  </w:style>
  <w:style w:type="character" w:styleId="Hypertextovprepojenie">
    <w:name w:val="Hyperlink"/>
    <w:basedOn w:val="Predvolenpsmoodseku"/>
    <w:uiPriority w:val="99"/>
    <w:unhideWhenUsed/>
    <w:rsid w:val="00933DB0"/>
    <w:rPr>
      <w:color w:val="0563C1" w:themeColor="hyperlink"/>
      <w:u w:val="single"/>
    </w:rPr>
  </w:style>
  <w:style w:type="character" w:styleId="Odkaznakomentr">
    <w:name w:val="annotation reference"/>
    <w:basedOn w:val="Predvolenpsmoodseku"/>
    <w:uiPriority w:val="99"/>
    <w:unhideWhenUsed/>
    <w:rsid w:val="00933DB0"/>
    <w:rPr>
      <w:sz w:val="16"/>
      <w:szCs w:val="16"/>
    </w:rPr>
  </w:style>
  <w:style w:type="paragraph" w:styleId="Textkomentra">
    <w:name w:val="annotation text"/>
    <w:basedOn w:val="Normlny"/>
    <w:link w:val="TextkomentraChar"/>
    <w:uiPriority w:val="99"/>
    <w:semiHidden/>
    <w:unhideWhenUsed/>
    <w:rsid w:val="00933DB0"/>
    <w:pPr>
      <w:spacing w:line="240" w:lineRule="auto"/>
    </w:pPr>
    <w:rPr>
      <w:sz w:val="20"/>
      <w:szCs w:val="20"/>
    </w:rPr>
  </w:style>
  <w:style w:type="character" w:customStyle="1" w:styleId="TextkomentraChar">
    <w:name w:val="Text komentára Char"/>
    <w:basedOn w:val="Predvolenpsmoodseku"/>
    <w:link w:val="Textkomentra"/>
    <w:uiPriority w:val="99"/>
    <w:semiHidden/>
    <w:rsid w:val="00933DB0"/>
    <w:rPr>
      <w:sz w:val="20"/>
      <w:szCs w:val="20"/>
    </w:rPr>
  </w:style>
  <w:style w:type="paragraph" w:styleId="Hlavika">
    <w:name w:val="header"/>
    <w:basedOn w:val="Normlny"/>
    <w:link w:val="HlavikaChar"/>
    <w:uiPriority w:val="99"/>
    <w:unhideWhenUsed/>
    <w:rsid w:val="00933DB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33DB0"/>
  </w:style>
  <w:style w:type="paragraph" w:styleId="Pta">
    <w:name w:val="footer"/>
    <w:basedOn w:val="Normlny"/>
    <w:link w:val="PtaChar"/>
    <w:uiPriority w:val="99"/>
    <w:unhideWhenUsed/>
    <w:rsid w:val="00933DB0"/>
    <w:pPr>
      <w:tabs>
        <w:tab w:val="center" w:pos="4536"/>
        <w:tab w:val="right" w:pos="9072"/>
      </w:tabs>
      <w:spacing w:after="0" w:line="240" w:lineRule="auto"/>
    </w:pPr>
  </w:style>
  <w:style w:type="character" w:customStyle="1" w:styleId="PtaChar">
    <w:name w:val="Päta Char"/>
    <w:basedOn w:val="Predvolenpsmoodseku"/>
    <w:link w:val="Pta"/>
    <w:uiPriority w:val="99"/>
    <w:rsid w:val="00933DB0"/>
  </w:style>
  <w:style w:type="paragraph" w:customStyle="1" w:styleId="Default">
    <w:name w:val="Default"/>
    <w:rsid w:val="00933DB0"/>
    <w:pPr>
      <w:autoSpaceDE w:val="0"/>
      <w:autoSpaceDN w:val="0"/>
      <w:adjustRightInd w:val="0"/>
      <w:spacing w:after="0" w:line="240" w:lineRule="auto"/>
    </w:pPr>
    <w:rPr>
      <w:rFonts w:ascii="Liberation Sans" w:hAnsi="Liberation Sans" w:cs="Liberation Sans"/>
      <w:color w:val="000000"/>
      <w:sz w:val="24"/>
      <w:szCs w:val="24"/>
    </w:rPr>
  </w:style>
  <w:style w:type="paragraph" w:styleId="Textbubliny">
    <w:name w:val="Balloon Text"/>
    <w:basedOn w:val="Normlny"/>
    <w:link w:val="TextbublinyChar"/>
    <w:uiPriority w:val="99"/>
    <w:semiHidden/>
    <w:unhideWhenUsed/>
    <w:rsid w:val="00933DB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33DB0"/>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1A3393"/>
    <w:rPr>
      <w:b/>
      <w:bCs/>
    </w:rPr>
  </w:style>
  <w:style w:type="character" w:customStyle="1" w:styleId="PredmetkomentraChar">
    <w:name w:val="Predmet komentára Char"/>
    <w:basedOn w:val="TextkomentraChar"/>
    <w:link w:val="Predmetkomentra"/>
    <w:uiPriority w:val="99"/>
    <w:semiHidden/>
    <w:rsid w:val="001A3393"/>
    <w:rPr>
      <w:b/>
      <w:bCs/>
      <w:sz w:val="20"/>
      <w:szCs w:val="20"/>
    </w:rPr>
  </w:style>
  <w:style w:type="paragraph" w:styleId="Odsekzoznamu">
    <w:name w:val="List Paragraph"/>
    <w:basedOn w:val="Normlny"/>
    <w:uiPriority w:val="34"/>
    <w:qFormat/>
    <w:rsid w:val="004A3DEA"/>
    <w:pPr>
      <w:spacing w:after="0" w:line="240" w:lineRule="auto"/>
      <w:ind w:left="720"/>
      <w:contextualSpacing/>
    </w:pPr>
    <w:rPr>
      <w:rFonts w:ascii="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768053">
      <w:bodyDiv w:val="1"/>
      <w:marLeft w:val="0"/>
      <w:marRight w:val="0"/>
      <w:marTop w:val="0"/>
      <w:marBottom w:val="0"/>
      <w:divBdr>
        <w:top w:val="none" w:sz="0" w:space="0" w:color="auto"/>
        <w:left w:val="none" w:sz="0" w:space="0" w:color="auto"/>
        <w:bottom w:val="none" w:sz="0" w:space="0" w:color="auto"/>
        <w:right w:val="none" w:sz="0" w:space="0" w:color="auto"/>
      </w:divBdr>
    </w:div>
    <w:div w:id="99700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1150</Words>
  <Characters>6561</Characters>
  <Application>Microsoft Office Word</Application>
  <DocSecurity>0</DocSecurity>
  <Lines>54</Lines>
  <Paragraphs>15</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Porubčanský Matúš</dc:creator>
  <cp:keywords/>
  <dc:description/>
  <cp:lastModifiedBy>Porubčanský Matúš</cp:lastModifiedBy>
  <cp:revision>3</cp:revision>
  <dcterms:created xsi:type="dcterms:W3CDTF">2019-11-07T11:21:00Z</dcterms:created>
  <dcterms:modified xsi:type="dcterms:W3CDTF">2019-11-11T06:31:00Z</dcterms:modified>
</cp:coreProperties>
</file>