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C200" w14:textId="47CD835F" w:rsidR="00C67D6F" w:rsidRDefault="00C67D6F" w:rsidP="00C67D6F">
      <w:pPr>
        <w:jc w:val="right"/>
        <w:rPr>
          <w:rFonts w:ascii="Arial Narrow" w:hAnsi="Arial Narrow" w:cs="Times New Roman"/>
          <w:b/>
        </w:rPr>
      </w:pPr>
      <w:r>
        <w:rPr>
          <w:rFonts w:ascii="Arial Narrow" w:hAnsi="Arial Narrow" w:cs="Times New Roman"/>
          <w:b/>
        </w:rPr>
        <w:t>Príloha č. 5 Súťažných podkladov</w:t>
      </w:r>
    </w:p>
    <w:p w14:paraId="3265EE77" w14:textId="46F828D1" w:rsidR="00F4422F" w:rsidRDefault="009D010B" w:rsidP="00F4422F">
      <w:pPr>
        <w:jc w:val="center"/>
        <w:rPr>
          <w:rFonts w:ascii="Arial Narrow" w:hAnsi="Arial Narrow" w:cs="Times New Roman"/>
          <w:b/>
        </w:rPr>
      </w:pPr>
      <w:r w:rsidRPr="00E977BF">
        <w:rPr>
          <w:rFonts w:ascii="Arial Narrow" w:hAnsi="Arial Narrow" w:cs="Times New Roman"/>
          <w:b/>
        </w:rPr>
        <w:t>PODMIENKY ÚČASTI</w:t>
      </w:r>
    </w:p>
    <w:p w14:paraId="19C4E972" w14:textId="383BEB14" w:rsidR="009D010B" w:rsidRPr="00F4422F" w:rsidRDefault="009D010B" w:rsidP="00CA34C1">
      <w:pPr>
        <w:jc w:val="center"/>
        <w:rPr>
          <w:rFonts w:ascii="Arial Narrow" w:hAnsi="Arial Narrow" w:cs="Times New Roman"/>
          <w:b/>
        </w:rPr>
      </w:pPr>
      <w:r w:rsidRPr="00E977BF">
        <w:rPr>
          <w:rFonts w:ascii="Arial Narrow" w:eastAsia="Times New Roman" w:hAnsi="Arial Narrow" w:cs="Times New Roman"/>
          <w:lang w:eastAsia="sk-SK"/>
        </w:rPr>
        <w:t>PRÁVNE, EKONOMICKÉ, FINANČNÉ A TECHNICKÉ INFORMÁCIE</w:t>
      </w:r>
    </w:p>
    <w:p w14:paraId="559020CA" w14:textId="77777777" w:rsidR="00A441EC" w:rsidRDefault="00A441EC" w:rsidP="00CA34C1">
      <w:pPr>
        <w:spacing w:after="0" w:line="240" w:lineRule="auto"/>
        <w:jc w:val="both"/>
        <w:rPr>
          <w:rFonts w:ascii="Arial Narrow" w:eastAsia="Times New Roman" w:hAnsi="Arial Narrow" w:cs="Times New Roman"/>
          <w:lang w:eastAsia="sk-SK"/>
        </w:rPr>
      </w:pPr>
    </w:p>
    <w:p w14:paraId="5718845C" w14:textId="77777777" w:rsidR="00A441EC" w:rsidRDefault="00A441EC" w:rsidP="00CA34C1">
      <w:pPr>
        <w:spacing w:after="0" w:line="240" w:lineRule="auto"/>
        <w:jc w:val="both"/>
        <w:rPr>
          <w:rFonts w:ascii="Arial Narrow" w:eastAsia="Times New Roman" w:hAnsi="Arial Narrow" w:cs="Times New Roman"/>
          <w:lang w:eastAsia="sk-SK"/>
        </w:rPr>
      </w:pPr>
    </w:p>
    <w:p w14:paraId="530E7879" w14:textId="1546C5A2" w:rsidR="009D010B" w:rsidRPr="00E977BF" w:rsidRDefault="009D010B" w:rsidP="00CA34C1">
      <w:pPr>
        <w:spacing w:after="0" w:line="240" w:lineRule="auto"/>
        <w:jc w:val="both"/>
        <w:rPr>
          <w:rFonts w:ascii="Arial Narrow" w:eastAsia="Times New Roman" w:hAnsi="Arial Narrow" w:cs="Times New Roman"/>
          <w:b/>
          <w:lang w:eastAsia="sk-SK"/>
        </w:rPr>
      </w:pPr>
      <w:r w:rsidRPr="00E977BF">
        <w:rPr>
          <w:rFonts w:ascii="Arial Narrow" w:eastAsia="Times New Roman" w:hAnsi="Arial Narrow" w:cs="Times New Roman"/>
          <w:b/>
          <w:lang w:eastAsia="sk-SK"/>
        </w:rPr>
        <w:t>Vhodnosť vykonávať profesionálnu činnosť vrátane požiadaviek týkajúcich sa zápisu do živnostenských alebo obchodných registrov</w:t>
      </w:r>
    </w:p>
    <w:p w14:paraId="6D30A567" w14:textId="77777777" w:rsidR="009D010B" w:rsidRPr="00410E33" w:rsidRDefault="009D010B" w:rsidP="00CA34C1">
      <w:pPr>
        <w:spacing w:after="0" w:line="240" w:lineRule="auto"/>
        <w:jc w:val="both"/>
        <w:rPr>
          <w:rFonts w:ascii="Arial Narrow" w:eastAsia="Times New Roman" w:hAnsi="Arial Narrow" w:cs="Times New Roman"/>
          <w:lang w:eastAsia="sk-SK"/>
        </w:rPr>
      </w:pPr>
    </w:p>
    <w:p w14:paraId="7E464C63" w14:textId="77777777" w:rsidR="009D010B" w:rsidRPr="00410E33" w:rsidRDefault="009D010B" w:rsidP="00CA34C1">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Zoznam a krátky opis podmienok</w:t>
      </w:r>
    </w:p>
    <w:p w14:paraId="69ED686D" w14:textId="77777777" w:rsidR="00F24844" w:rsidRDefault="00BE71D4" w:rsidP="00CA34C1">
      <w:pPr>
        <w:spacing w:after="0" w:line="240" w:lineRule="auto"/>
        <w:jc w:val="both"/>
        <w:rPr>
          <w:rFonts w:ascii="Arial Narrow" w:hAnsi="Arial Narrow"/>
        </w:rPr>
      </w:pPr>
      <w:r w:rsidRPr="00E977BF">
        <w:rPr>
          <w:rFonts w:ascii="Arial Narrow" w:hAnsi="Arial Narrow"/>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w:t>
      </w:r>
    </w:p>
    <w:p w14:paraId="53CBFE2E" w14:textId="77777777" w:rsidR="00834BE1" w:rsidRDefault="00BE71D4" w:rsidP="00CA34C1">
      <w:pPr>
        <w:spacing w:after="0" w:line="240" w:lineRule="auto"/>
        <w:jc w:val="both"/>
        <w:rPr>
          <w:rFonts w:ascii="Arial Narrow" w:hAnsi="Arial Narrow"/>
        </w:rPr>
      </w:pPr>
      <w:r w:rsidRPr="00E977BF">
        <w:rPr>
          <w:rFonts w:ascii="Arial Narrow" w:hAnsi="Arial Narrow"/>
        </w:rPr>
        <w:br/>
        <w:t>Uchádzač preukáže splnenie podmienok účasti týkajúcich sa osobného postavenia podľa § 32 ods. 1 zákona, dokladmi podľa § 32 ods. 2</w:t>
      </w:r>
      <w:r w:rsidR="005A73B4">
        <w:rPr>
          <w:rFonts w:ascii="Arial Narrow" w:hAnsi="Arial Narrow"/>
        </w:rPr>
        <w:t xml:space="preserve"> a ods. 3</w:t>
      </w:r>
      <w:r w:rsidRPr="00E977BF">
        <w:rPr>
          <w:rFonts w:ascii="Arial Narrow" w:hAnsi="Arial Narrow"/>
        </w:rPr>
        <w:t xml:space="preserve">, resp. podľa § 32 ods. 4 a 5 zákona. </w:t>
      </w:r>
    </w:p>
    <w:p w14:paraId="53E309B8" w14:textId="77777777" w:rsidR="000F43D8" w:rsidRDefault="00BE71D4" w:rsidP="00CA34C1">
      <w:pPr>
        <w:spacing w:after="0" w:line="240" w:lineRule="auto"/>
        <w:jc w:val="both"/>
        <w:rPr>
          <w:rFonts w:ascii="Arial Narrow" w:hAnsi="Arial Narrow"/>
        </w:rPr>
      </w:pPr>
      <w:r w:rsidRPr="00E977BF">
        <w:rPr>
          <w:rFonts w:ascii="Arial Narrow" w:hAnsi="Arial Narrow"/>
        </w:rPr>
        <w:b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r w:rsidRPr="00E977BF">
        <w:rPr>
          <w:rFonts w:ascii="Arial Narrow" w:hAnsi="Arial Narrow"/>
        </w:rPr>
        <w:br/>
      </w:r>
      <w:r w:rsidRPr="00E977BF">
        <w:rPr>
          <w:rFonts w:ascii="Arial Narrow" w:hAnsi="Arial Narrow"/>
        </w:rPr>
        <w:b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F8BDF9" w14:textId="77777777" w:rsidR="00F24844" w:rsidRDefault="00BE71D4" w:rsidP="00CA34C1">
      <w:pPr>
        <w:spacing w:after="0" w:line="240" w:lineRule="auto"/>
        <w:jc w:val="both"/>
        <w:rPr>
          <w:rFonts w:ascii="Arial Narrow" w:hAnsi="Arial Narrow"/>
        </w:rPr>
      </w:pPr>
      <w:r w:rsidRPr="00E977BF">
        <w:rPr>
          <w:rFonts w:ascii="Arial Narrow" w:hAnsi="Arial Narrow"/>
        </w:rPr>
        <w:b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C9CC30A" w14:textId="77777777" w:rsidR="00F24844" w:rsidRDefault="00BE71D4" w:rsidP="00CA34C1">
      <w:pPr>
        <w:spacing w:after="0" w:line="240" w:lineRule="auto"/>
        <w:jc w:val="both"/>
        <w:rPr>
          <w:rFonts w:ascii="Arial Narrow" w:hAnsi="Arial Narrow"/>
        </w:rPr>
      </w:pPr>
      <w:r w:rsidRPr="00E977BF">
        <w:rPr>
          <w:rFonts w:ascii="Arial Narrow" w:hAnsi="Arial Narrow"/>
        </w:rPr>
        <w:br/>
        <w:t>Hospodársky subjekt môže predbežne nahradiť doklady na preukázanie splnenia podmienok účasti vo verejnom obstarávaní podľa § 32 ods. 1 zákona jednotným európskym dokumentom podľa § 39 zákona.</w:t>
      </w:r>
    </w:p>
    <w:p w14:paraId="14F31859" w14:textId="77777777" w:rsidR="00C5030B" w:rsidRDefault="00C5030B" w:rsidP="00CA34C1">
      <w:pPr>
        <w:spacing w:after="0" w:line="240" w:lineRule="auto"/>
        <w:jc w:val="both"/>
        <w:rPr>
          <w:rFonts w:ascii="Arial Narrow" w:hAnsi="Arial Narrow"/>
        </w:rPr>
      </w:pPr>
    </w:p>
    <w:p w14:paraId="4CF9CD45" w14:textId="77777777" w:rsidR="00C5030B" w:rsidRPr="00437221" w:rsidRDefault="00C5030B" w:rsidP="00CA34C1">
      <w:pPr>
        <w:pStyle w:val="Bodytext20"/>
        <w:shd w:val="clear" w:color="auto" w:fill="auto"/>
        <w:ind w:firstLine="0"/>
        <w:jc w:val="both"/>
        <w:rPr>
          <w:rFonts w:ascii="Arial Narrow" w:hAnsi="Arial Narrow"/>
          <w:sz w:val="22"/>
          <w:szCs w:val="22"/>
          <w:shd w:val="clear" w:color="auto" w:fill="FFFFFF"/>
        </w:rPr>
      </w:pPr>
      <w:r w:rsidRPr="00437221">
        <w:rPr>
          <w:rFonts w:ascii="Arial Narrow" w:hAnsi="Arial Narrow"/>
          <w:sz w:val="22"/>
          <w:szCs w:val="22"/>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2644C016" w14:textId="77777777" w:rsidR="00C5030B" w:rsidRPr="00437221" w:rsidRDefault="00C5030B" w:rsidP="00CA34C1">
      <w:pPr>
        <w:pStyle w:val="Bodytext20"/>
        <w:shd w:val="clear" w:color="auto" w:fill="auto"/>
        <w:ind w:left="900" w:firstLine="0"/>
        <w:jc w:val="both"/>
        <w:rPr>
          <w:rFonts w:ascii="Arial Narrow" w:hAnsi="Arial Narrow"/>
          <w:sz w:val="22"/>
          <w:szCs w:val="22"/>
          <w:shd w:val="clear" w:color="auto" w:fill="FFFFFF"/>
        </w:rPr>
      </w:pPr>
    </w:p>
    <w:p w14:paraId="3689D4AC" w14:textId="77777777" w:rsidR="00C5030B" w:rsidRPr="00437221" w:rsidRDefault="00C5030B" w:rsidP="00CA34C1">
      <w:pPr>
        <w:pStyle w:val="Bodytext20"/>
        <w:shd w:val="clear" w:color="auto" w:fill="auto"/>
        <w:ind w:firstLine="0"/>
        <w:jc w:val="both"/>
        <w:rPr>
          <w:rFonts w:ascii="Arial Narrow" w:hAnsi="Arial Narrow"/>
          <w:sz w:val="22"/>
          <w:szCs w:val="22"/>
          <w:shd w:val="clear" w:color="auto" w:fill="FFFFFF"/>
        </w:rPr>
      </w:pPr>
      <w:r w:rsidRPr="00437221">
        <w:rPr>
          <w:rFonts w:ascii="Arial Narrow" w:hAnsi="Arial Narrow"/>
          <w:sz w:val="22"/>
          <w:szCs w:val="22"/>
          <w:shd w:val="clear" w:color="auto" w:fill="FFFFFF"/>
        </w:rPr>
        <w:t xml:space="preserve">S ohľadom na to, že z technických dôvodov nie je možné získať údaje alebo výpisy z informačných systémov Generálnej prokuratúry, </w:t>
      </w:r>
      <w:r w:rsidR="00F24844">
        <w:rPr>
          <w:rFonts w:ascii="Arial Narrow" w:hAnsi="Arial Narrow"/>
          <w:sz w:val="22"/>
          <w:szCs w:val="22"/>
          <w:shd w:val="clear" w:color="auto" w:fill="FFFFFF"/>
        </w:rPr>
        <w:t>získa</w:t>
      </w:r>
      <w:r w:rsidR="00F24844" w:rsidRPr="00437221">
        <w:rPr>
          <w:rFonts w:ascii="Arial Narrow" w:hAnsi="Arial Narrow"/>
          <w:sz w:val="22"/>
          <w:szCs w:val="22"/>
          <w:shd w:val="clear" w:color="auto" w:fill="FFFFFF"/>
        </w:rPr>
        <w:t xml:space="preserve"> </w:t>
      </w:r>
      <w:r w:rsidR="00A14F1A" w:rsidRPr="00437221">
        <w:rPr>
          <w:rFonts w:ascii="Arial Narrow" w:hAnsi="Arial Narrow"/>
          <w:sz w:val="22"/>
          <w:szCs w:val="22"/>
          <w:shd w:val="clear" w:color="auto" w:fill="FFFFFF"/>
        </w:rPr>
        <w:t>záujemca/</w:t>
      </w:r>
      <w:r w:rsidRPr="00437221">
        <w:rPr>
          <w:rFonts w:ascii="Arial Narrow" w:hAnsi="Arial Narrow"/>
          <w:sz w:val="22"/>
          <w:szCs w:val="22"/>
          <w:shd w:val="clear" w:color="auto" w:fill="FFFFFF"/>
        </w:rPr>
        <w:t>uchádzač doklady podľa § 32 ods. 1 a) zákona č 343/2015 o verejnom obstarávaní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F24844">
        <w:rPr>
          <w:rFonts w:ascii="Arial Narrow" w:hAnsi="Arial Narrow"/>
          <w:sz w:val="22"/>
          <w:szCs w:val="22"/>
          <w:shd w:val="clear" w:color="auto" w:fill="FFFFFF"/>
        </w:rPr>
        <w:t xml:space="preserve"> a predkladá vo forme uvedenej v bode 10.2 súťažných podkladov.</w:t>
      </w:r>
      <w:r w:rsidRPr="00437221">
        <w:rPr>
          <w:rFonts w:ascii="Arial Narrow" w:hAnsi="Arial Narrow"/>
          <w:sz w:val="22"/>
          <w:szCs w:val="22"/>
          <w:shd w:val="clear" w:color="auto" w:fill="FFFFFF"/>
        </w:rPr>
        <w:t xml:space="preserve"> Ak je uchádzač zapísaný v z zozname hospodárskych subjektov, vedený úradom pre verejné obstarávanie, doklad podľa § 32 ods. 1 a) zákona č 343/2015 o verejnom obstarávaní sa nevyžaduje.</w:t>
      </w:r>
    </w:p>
    <w:p w14:paraId="60B0ABAA" w14:textId="77777777" w:rsidR="00C5030B" w:rsidRPr="00410E33" w:rsidRDefault="00C5030B" w:rsidP="00E977BF">
      <w:pPr>
        <w:spacing w:after="0" w:line="240" w:lineRule="auto"/>
        <w:rPr>
          <w:rFonts w:ascii="Arial Narrow" w:eastAsia="Times New Roman" w:hAnsi="Arial Narrow" w:cs="Times New Roman"/>
          <w:b/>
          <w:lang w:eastAsia="sk-SK"/>
        </w:rPr>
      </w:pPr>
    </w:p>
    <w:p w14:paraId="74B68926" w14:textId="4A047162" w:rsidR="00392DF8" w:rsidRDefault="00392DF8" w:rsidP="009D010B">
      <w:pPr>
        <w:spacing w:after="0" w:line="240" w:lineRule="auto"/>
        <w:jc w:val="both"/>
        <w:rPr>
          <w:rFonts w:ascii="Arial Narrow" w:eastAsia="Times New Roman" w:hAnsi="Arial Narrow" w:cs="Times New Roman"/>
          <w:lang w:eastAsia="sk-SK"/>
        </w:rPr>
      </w:pPr>
    </w:p>
    <w:p w14:paraId="15515054" w14:textId="5492E551" w:rsidR="00A441EC" w:rsidRPr="00E977BF" w:rsidRDefault="00A441EC" w:rsidP="009D010B">
      <w:pPr>
        <w:spacing w:after="0" w:line="240" w:lineRule="auto"/>
        <w:jc w:val="both"/>
        <w:rPr>
          <w:rFonts w:ascii="Arial Narrow" w:eastAsia="Times New Roman" w:hAnsi="Arial Narrow" w:cs="Times New Roman"/>
          <w:lang w:eastAsia="sk-SK"/>
        </w:rPr>
      </w:pPr>
    </w:p>
    <w:p w14:paraId="19B86254" w14:textId="77777777" w:rsidR="009D010B" w:rsidRPr="00410E33" w:rsidRDefault="009D010B" w:rsidP="00CA34C1">
      <w:pPr>
        <w:spacing w:after="0" w:line="240" w:lineRule="auto"/>
        <w:jc w:val="both"/>
        <w:rPr>
          <w:rFonts w:ascii="Arial Narrow" w:eastAsia="Times New Roman" w:hAnsi="Arial Narrow" w:cs="Times New Roman"/>
          <w:b/>
          <w:u w:val="single"/>
          <w:lang w:eastAsia="sk-SK"/>
        </w:rPr>
      </w:pPr>
      <w:r w:rsidRPr="00410E33">
        <w:rPr>
          <w:rFonts w:ascii="Arial Narrow" w:eastAsia="Times New Roman" w:hAnsi="Arial Narrow" w:cs="Times New Roman"/>
          <w:b/>
          <w:u w:val="single"/>
          <w:lang w:eastAsia="sk-SK"/>
        </w:rPr>
        <w:t>Ekonomické a finančné postavenie</w:t>
      </w:r>
    </w:p>
    <w:p w14:paraId="5F0E7DFE" w14:textId="77777777" w:rsidR="00A441EC" w:rsidRDefault="00A441EC" w:rsidP="00CA34C1">
      <w:pPr>
        <w:spacing w:after="0" w:line="240" w:lineRule="auto"/>
        <w:jc w:val="both"/>
        <w:rPr>
          <w:rFonts w:ascii="Arial Narrow" w:eastAsia="Times New Roman" w:hAnsi="Arial Narrow" w:cs="Times New Roman"/>
          <w:lang w:eastAsia="sk-SK"/>
        </w:rPr>
      </w:pPr>
    </w:p>
    <w:p w14:paraId="02671092" w14:textId="6923D69A" w:rsidR="0066211A" w:rsidRPr="00410E33" w:rsidRDefault="00A02D6B" w:rsidP="00CA34C1">
      <w:pPr>
        <w:spacing w:line="240" w:lineRule="auto"/>
        <w:jc w:val="both"/>
        <w:rPr>
          <w:rFonts w:ascii="Arial Narrow" w:eastAsia="Times New Roman" w:hAnsi="Arial Narrow" w:cs="Times New Roman"/>
          <w:b/>
          <w:lang w:eastAsia="sk-SK"/>
        </w:rPr>
      </w:pPr>
      <w:r>
        <w:rPr>
          <w:rFonts w:ascii="Arial Narrow" w:eastAsia="Times New Roman" w:hAnsi="Arial Narrow" w:cs="Times New Roman"/>
          <w:b/>
          <w:lang w:eastAsia="sk-SK"/>
        </w:rPr>
        <w:t>Neaplikuje sa</w:t>
      </w:r>
    </w:p>
    <w:p w14:paraId="47EAF85E" w14:textId="7BAECB59" w:rsidR="00A441EC" w:rsidRDefault="00A441EC" w:rsidP="009D010B">
      <w:pPr>
        <w:spacing w:before="300" w:after="300" w:line="240" w:lineRule="auto"/>
        <w:rPr>
          <w:rFonts w:ascii="Arial Narrow" w:eastAsia="Times New Roman" w:hAnsi="Arial Narrow" w:cs="Times New Roman"/>
          <w:b/>
          <w:u w:val="single"/>
          <w:lang w:eastAsia="sk-SK"/>
        </w:rPr>
      </w:pPr>
    </w:p>
    <w:p w14:paraId="1BEADA1C" w14:textId="3F1947F9" w:rsidR="009D010B" w:rsidRPr="00410E33" w:rsidRDefault="009D010B" w:rsidP="00CA34C1">
      <w:pPr>
        <w:spacing w:before="300" w:after="300" w:line="240" w:lineRule="auto"/>
        <w:jc w:val="both"/>
        <w:rPr>
          <w:rFonts w:ascii="Arial Narrow" w:eastAsia="Times New Roman" w:hAnsi="Arial Narrow" w:cs="Times New Roman"/>
          <w:u w:val="single"/>
          <w:lang w:eastAsia="sk-SK"/>
        </w:rPr>
      </w:pPr>
      <w:r w:rsidRPr="00410E33">
        <w:rPr>
          <w:rFonts w:ascii="Arial Narrow" w:eastAsia="Times New Roman" w:hAnsi="Arial Narrow" w:cs="Times New Roman"/>
          <w:b/>
          <w:u w:val="single"/>
          <w:lang w:eastAsia="sk-SK"/>
        </w:rPr>
        <w:lastRenderedPageBreak/>
        <w:t>Technická a odborná spôsobilosť</w:t>
      </w:r>
    </w:p>
    <w:p w14:paraId="69EB26F4" w14:textId="77777777" w:rsidR="00476FDC" w:rsidRPr="00410E33" w:rsidRDefault="009D010B" w:rsidP="00CA34C1">
      <w:pPr>
        <w:pStyle w:val="Bezriadkovania"/>
        <w:jc w:val="both"/>
        <w:rPr>
          <w:rFonts w:ascii="Arial Narrow" w:hAnsi="Arial Narrow" w:cs="Times New Roman"/>
          <w:b/>
          <w:lang w:eastAsia="sk-SK"/>
        </w:rPr>
      </w:pPr>
      <w:r w:rsidRPr="00410E33">
        <w:rPr>
          <w:rFonts w:ascii="Arial Narrow" w:hAnsi="Arial Narrow" w:cs="Times New Roman"/>
          <w:b/>
          <w:lang w:eastAsia="sk-SK"/>
        </w:rPr>
        <w:t>Zozna</w:t>
      </w:r>
      <w:r w:rsidR="00476FDC" w:rsidRPr="00410E33">
        <w:rPr>
          <w:rFonts w:ascii="Arial Narrow" w:hAnsi="Arial Narrow" w:cs="Times New Roman"/>
          <w:b/>
          <w:lang w:eastAsia="sk-SK"/>
        </w:rPr>
        <w:t>m a krátky opis kritérií výberu</w:t>
      </w:r>
    </w:p>
    <w:p w14:paraId="7D424810" w14:textId="77777777" w:rsidR="00CF6EE3" w:rsidRPr="00410E33" w:rsidRDefault="00CF6EE3" w:rsidP="00CA34C1">
      <w:pPr>
        <w:autoSpaceDE w:val="0"/>
        <w:autoSpaceDN w:val="0"/>
        <w:adjustRightInd w:val="0"/>
        <w:spacing w:after="0" w:line="240" w:lineRule="auto"/>
        <w:jc w:val="both"/>
        <w:rPr>
          <w:rFonts w:ascii="Arial Narrow" w:hAnsi="Arial Narrow" w:cs="Times New Roman"/>
          <w:b/>
          <w:lang w:eastAsia="sk-SK"/>
        </w:rPr>
      </w:pPr>
    </w:p>
    <w:p w14:paraId="72D37D74" w14:textId="36F3A55C" w:rsidR="00CF6EE3" w:rsidRPr="00410E33" w:rsidRDefault="00CF6EE3" w:rsidP="00CA34C1">
      <w:pPr>
        <w:autoSpaceDE w:val="0"/>
        <w:autoSpaceDN w:val="0"/>
        <w:adjustRightInd w:val="0"/>
        <w:spacing w:after="0" w:line="240" w:lineRule="auto"/>
        <w:jc w:val="both"/>
        <w:rPr>
          <w:rFonts w:ascii="Arial Narrow" w:hAnsi="Arial Narrow" w:cs="Arial Narrow"/>
        </w:rPr>
      </w:pPr>
      <w:r w:rsidRPr="00B079E6">
        <w:rPr>
          <w:rFonts w:ascii="Arial Narrow" w:hAnsi="Arial Narrow" w:cs="Arial Narrow"/>
        </w:rPr>
        <w:t>§ 34 ods. 1 písm. a) zákona,</w:t>
      </w:r>
    </w:p>
    <w:p w14:paraId="04005800" w14:textId="77777777" w:rsidR="00410E33" w:rsidRPr="00410E33" w:rsidRDefault="00410E33" w:rsidP="00CA34C1">
      <w:pPr>
        <w:pStyle w:val="Bezriadkovania"/>
        <w:jc w:val="both"/>
        <w:rPr>
          <w:rFonts w:ascii="Arial Narrow" w:hAnsi="Arial Narrow" w:cs="Times New Roman"/>
          <w:b/>
          <w:lang w:eastAsia="sk-SK"/>
        </w:rPr>
      </w:pPr>
    </w:p>
    <w:p w14:paraId="5BB3F9B6" w14:textId="5A46B452" w:rsidR="00FA6B25" w:rsidRDefault="009D010B" w:rsidP="00A02D6B">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14:paraId="65808DEC" w14:textId="77777777" w:rsidR="00A02D6B" w:rsidRPr="00A02D6B" w:rsidRDefault="00A02D6B" w:rsidP="00A02D6B">
      <w:pPr>
        <w:spacing w:after="0" w:line="240" w:lineRule="auto"/>
        <w:jc w:val="both"/>
        <w:rPr>
          <w:rFonts w:ascii="Arial Narrow" w:eastAsia="Times New Roman" w:hAnsi="Arial Narrow" w:cs="Times New Roman"/>
          <w:b/>
          <w:lang w:eastAsia="sk-SK"/>
        </w:rPr>
      </w:pPr>
    </w:p>
    <w:p w14:paraId="227F9B54" w14:textId="3C17EC5D" w:rsidR="00CF6EE3" w:rsidRPr="002B441D" w:rsidRDefault="00CF6EE3" w:rsidP="00CA34C1">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
          <w:color w:val="000000"/>
        </w:rPr>
        <w:t>§ 34 ods. 1 písm. a) zákona – verejný obstarávateľ požaduje predložiť zoznam poskytnutých služieb za</w:t>
      </w:r>
      <w:r w:rsidR="00FD1264" w:rsidRPr="00410E33">
        <w:rPr>
          <w:rFonts w:ascii="Arial Narrow" w:hAnsi="Arial Narrow" w:cs="Arial Narrow"/>
          <w:color w:val="000000"/>
        </w:rPr>
        <w:t xml:space="preserve"> </w:t>
      </w:r>
      <w:r w:rsidR="000541B5">
        <w:rPr>
          <w:rFonts w:ascii="Arial Narrow" w:hAnsi="Arial Narrow" w:cs="Arial Narrow"/>
          <w:color w:val="000000"/>
        </w:rPr>
        <w:t>p</w:t>
      </w:r>
      <w:r w:rsidRPr="005C177F">
        <w:rPr>
          <w:rFonts w:ascii="Arial Narrow" w:hAnsi="Arial Narrow" w:cs="Arial Narrow"/>
          <w:color w:val="000000"/>
        </w:rPr>
        <w:t>redchádzajúce 3 roky od vyhlásenia verejného obstarávania s uvedením cien, lehôt dodania a</w:t>
      </w:r>
      <w:r w:rsidR="00FD1264"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00FD1264"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00FD1264" w:rsidRPr="00410E33">
        <w:rPr>
          <w:rFonts w:ascii="Arial Narrow" w:hAnsi="Arial Narrow" w:cs="Arial Narrow"/>
          <w:color w:val="000000"/>
        </w:rPr>
        <w:t> </w:t>
      </w:r>
      <w:r w:rsidRPr="00B079E6">
        <w:rPr>
          <w:rFonts w:ascii="Arial Narrow" w:hAnsi="Arial Narrow" w:cs="Arial Narrow"/>
          <w:color w:val="000000"/>
        </w:rPr>
        <w:t>Úradnom</w:t>
      </w:r>
      <w:r w:rsidR="00FD1264"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14:paraId="1476A1B0" w14:textId="77777777" w:rsidR="00FD1264" w:rsidRPr="002B441D" w:rsidRDefault="00FD1264" w:rsidP="00CA34C1">
      <w:pPr>
        <w:autoSpaceDE w:val="0"/>
        <w:autoSpaceDN w:val="0"/>
        <w:adjustRightInd w:val="0"/>
        <w:spacing w:after="0" w:line="240" w:lineRule="auto"/>
        <w:jc w:val="both"/>
        <w:rPr>
          <w:rFonts w:ascii="Arial Narrow" w:hAnsi="Arial Narrow" w:cs="Arial Narrow"/>
          <w:color w:val="000000"/>
        </w:rPr>
      </w:pPr>
    </w:p>
    <w:p w14:paraId="318A7D79" w14:textId="77777777" w:rsidR="00450280" w:rsidRDefault="002B441D" w:rsidP="00CA34C1">
      <w:pPr>
        <w:spacing w:after="0" w:line="240" w:lineRule="auto"/>
        <w:mirrorIndents/>
        <w:jc w:val="both"/>
        <w:rPr>
          <w:rFonts w:ascii="Arial Narrow" w:hAnsi="Arial Narrow"/>
        </w:rPr>
      </w:pPr>
      <w:r w:rsidRPr="0053295D">
        <w:rPr>
          <w:rFonts w:ascii="Arial Narrow" w:hAnsi="Arial Narrow"/>
        </w:rPr>
        <w:t xml:space="preserve">Zoznamom poskytnutých služieb uchádzač preukáže </w:t>
      </w:r>
    </w:p>
    <w:p w14:paraId="0A71839F" w14:textId="2674567C" w:rsidR="00450280" w:rsidRDefault="002B441D" w:rsidP="00823336">
      <w:pPr>
        <w:pStyle w:val="Odsekzoznamu"/>
        <w:numPr>
          <w:ilvl w:val="0"/>
          <w:numId w:val="37"/>
        </w:numPr>
        <w:spacing w:after="0" w:line="240" w:lineRule="auto"/>
        <w:mirrorIndents/>
        <w:jc w:val="both"/>
        <w:rPr>
          <w:rFonts w:ascii="Arial Narrow" w:hAnsi="Arial Narrow"/>
        </w:rPr>
      </w:pPr>
      <w:r w:rsidRPr="00823336">
        <w:rPr>
          <w:rFonts w:ascii="Arial Narrow" w:hAnsi="Arial Narrow"/>
        </w:rPr>
        <w:t xml:space="preserve">poskytnutie služieb rovnakého alebo obdobného charakteru ako je predmet zákazky v kumulatívnej hodnote min. </w:t>
      </w:r>
      <w:r w:rsidR="00ED6D98" w:rsidRPr="00823336">
        <w:rPr>
          <w:rFonts w:ascii="Arial Narrow" w:hAnsi="Arial Narrow"/>
        </w:rPr>
        <w:t>1 200 000,00</w:t>
      </w:r>
      <w:r w:rsidR="00B9405F" w:rsidRPr="00823336">
        <w:rPr>
          <w:rFonts w:ascii="Arial Narrow" w:hAnsi="Arial Narrow"/>
        </w:rPr>
        <w:t xml:space="preserve"> EUR bez DPH</w:t>
      </w:r>
    </w:p>
    <w:p w14:paraId="25085026" w14:textId="002A769B" w:rsidR="00ED6D98" w:rsidRPr="00450280" w:rsidRDefault="00450280" w:rsidP="003A2E54">
      <w:pPr>
        <w:pStyle w:val="Odsekzoznamu"/>
        <w:numPr>
          <w:ilvl w:val="0"/>
          <w:numId w:val="37"/>
        </w:numPr>
        <w:spacing w:after="0" w:line="240" w:lineRule="auto"/>
        <w:ind w:left="360"/>
        <w:mirrorIndents/>
        <w:jc w:val="both"/>
        <w:rPr>
          <w:rFonts w:ascii="Arial Narrow" w:hAnsi="Arial Narrow"/>
        </w:rPr>
      </w:pPr>
      <w:r w:rsidRPr="00450280">
        <w:rPr>
          <w:rFonts w:ascii="Arial Narrow" w:hAnsi="Arial Narrow"/>
        </w:rPr>
        <w:t>a zároveň, že</w:t>
      </w:r>
      <w:r>
        <w:rPr>
          <w:rFonts w:ascii="Arial Narrow" w:hAnsi="Arial Narrow"/>
        </w:rPr>
        <w:t xml:space="preserve"> </w:t>
      </w:r>
      <w:r w:rsidR="004F73E3" w:rsidRPr="00450280">
        <w:rPr>
          <w:rFonts w:ascii="Arial Narrow" w:hAnsi="Arial Narrow"/>
        </w:rPr>
        <w:t xml:space="preserve">za posledné 3 </w:t>
      </w:r>
      <w:r w:rsidRPr="00450280">
        <w:rPr>
          <w:rFonts w:ascii="Arial Narrow" w:hAnsi="Arial Narrow"/>
        </w:rPr>
        <w:t>r</w:t>
      </w:r>
      <w:r w:rsidR="004F73E3" w:rsidRPr="00450280">
        <w:rPr>
          <w:rFonts w:ascii="Arial Narrow" w:hAnsi="Arial Narrow"/>
        </w:rPr>
        <w:t>oky od vyhlásenia verejného obstarávania súčas</w:t>
      </w:r>
      <w:r w:rsidR="00ED6D98" w:rsidRPr="00450280">
        <w:rPr>
          <w:rFonts w:ascii="Arial Narrow" w:hAnsi="Arial Narrow"/>
        </w:rPr>
        <w:t xml:space="preserve">ne poskytoval služby rovnakého alebo obdobného charakteru ako je predmet zákazky </w:t>
      </w:r>
      <w:r w:rsidR="004F73E3" w:rsidRPr="00450280">
        <w:rPr>
          <w:rFonts w:ascii="Arial Narrow" w:hAnsi="Arial Narrow"/>
        </w:rPr>
        <w:t xml:space="preserve">na minimálne </w:t>
      </w:r>
      <w:r w:rsidR="008C27B0">
        <w:rPr>
          <w:rFonts w:ascii="Arial Narrow" w:hAnsi="Arial Narrow"/>
        </w:rPr>
        <w:t>6</w:t>
      </w:r>
      <w:r w:rsidR="004F73E3" w:rsidRPr="00450280">
        <w:rPr>
          <w:rFonts w:ascii="Arial Narrow" w:hAnsi="Arial Narrow"/>
        </w:rPr>
        <w:t>0-tich objektoch súčas</w:t>
      </w:r>
      <w:r w:rsidR="00ED6D98" w:rsidRPr="00450280">
        <w:rPr>
          <w:rFonts w:ascii="Arial Narrow" w:hAnsi="Arial Narrow"/>
        </w:rPr>
        <w:t>ne.</w:t>
      </w:r>
      <w:bookmarkStart w:id="0" w:name="_GoBack"/>
      <w:bookmarkEnd w:id="0"/>
    </w:p>
    <w:p w14:paraId="4D63ABFD" w14:textId="10D54597" w:rsidR="00820F21" w:rsidRPr="00AE3BC2" w:rsidRDefault="00820F21" w:rsidP="00CA34C1">
      <w:pPr>
        <w:pStyle w:val="Default"/>
        <w:jc w:val="both"/>
        <w:rPr>
          <w:rFonts w:ascii="Arial Narrow" w:hAnsi="Arial Narrow"/>
          <w:sz w:val="22"/>
          <w:szCs w:val="22"/>
        </w:rPr>
      </w:pPr>
    </w:p>
    <w:p w14:paraId="6E963E9F" w14:textId="77777777" w:rsidR="005118D0" w:rsidRPr="00410E33" w:rsidRDefault="005118D0" w:rsidP="0045028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14ED437D" w14:textId="77777777"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za všetkých členov skupiny spoločne. </w:t>
      </w:r>
    </w:p>
    <w:p w14:paraId="6D42D146" w14:textId="296100AE"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w:t>
      </w:r>
      <w:r w:rsidR="00ED6D98">
        <w:rPr>
          <w:rFonts w:ascii="Arial Narrow" w:eastAsia="Times New Roman" w:hAnsi="Arial Narrow" w:cs="Times New Roman"/>
          <w:lang w:eastAsia="sk-SK"/>
        </w:rPr>
        <w:t>ujúcich spôsobilosť podľa</w:t>
      </w:r>
      <w:r w:rsidRPr="00410E33">
        <w:rPr>
          <w:rFonts w:ascii="Arial Narrow" w:eastAsia="Times New Roman" w:hAnsi="Arial Narrow" w:cs="Times New Roman"/>
          <w:lang w:eastAsia="sk-SK"/>
        </w:rPr>
        <w:t xml:space="preserve"> § 34 zákona musí byť zrejmé splnenie vyššie identifikovaných minimálnych úrovní požadovaných verejným obstarávateľom a rovnako musí byť zrejmé, že preukazovanie sa týka osoby uchádzača.</w:t>
      </w:r>
    </w:p>
    <w:p w14:paraId="3763537B" w14:textId="77777777"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88662A2" w14:textId="77777777" w:rsidR="009D010B"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sectPr w:rsidR="009D010B" w:rsidRPr="00410E33">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1638" w14:textId="77777777" w:rsidR="005F32F5" w:rsidRDefault="005F32F5" w:rsidP="00551242">
      <w:pPr>
        <w:spacing w:after="0" w:line="240" w:lineRule="auto"/>
      </w:pPr>
      <w:r>
        <w:separator/>
      </w:r>
    </w:p>
  </w:endnote>
  <w:endnote w:type="continuationSeparator" w:id="0">
    <w:p w14:paraId="63FD137A" w14:textId="77777777" w:rsidR="005F32F5" w:rsidRDefault="005F32F5"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9EEA2" w14:textId="77777777" w:rsidR="005F32F5" w:rsidRDefault="005F32F5" w:rsidP="00551242">
      <w:pPr>
        <w:spacing w:after="0" w:line="240" w:lineRule="auto"/>
      </w:pPr>
      <w:r>
        <w:separator/>
      </w:r>
    </w:p>
  </w:footnote>
  <w:footnote w:type="continuationSeparator" w:id="0">
    <w:p w14:paraId="142DD3DA" w14:textId="77777777" w:rsidR="005F32F5" w:rsidRDefault="005F32F5"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761B" w14:textId="3394F0CB" w:rsidR="00D94774" w:rsidRDefault="00C85524" w:rsidP="00C85524">
    <w:pPr>
      <w:pStyle w:val="Hlavika"/>
      <w:jc w:val="right"/>
    </w:pPr>
    <w:r w:rsidRPr="007C6581">
      <w:rPr>
        <w:rFonts w:ascii="Arial Narrow" w:hAnsi="Arial Narrow"/>
        <w:sz w:val="18"/>
        <w:szCs w:val="18"/>
      </w:rPr>
      <w:t xml:space="preserve">Príloha č. </w:t>
    </w:r>
    <w:r w:rsidR="0053295D">
      <w:rPr>
        <w:rFonts w:ascii="Arial Narrow" w:hAnsi="Arial Narrow"/>
        <w:sz w:val="18"/>
        <w:szCs w:val="18"/>
      </w:rPr>
      <w:t>5</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14A7"/>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2A74ED"/>
    <w:multiLevelType w:val="hybridMultilevel"/>
    <w:tmpl w:val="026401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32B45"/>
    <w:multiLevelType w:val="hybridMultilevel"/>
    <w:tmpl w:val="6964B6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E04BCB"/>
    <w:multiLevelType w:val="hybridMultilevel"/>
    <w:tmpl w:val="E7AAEDD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E3F13"/>
    <w:multiLevelType w:val="hybridMultilevel"/>
    <w:tmpl w:val="DBB680EE"/>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2A588D"/>
    <w:multiLevelType w:val="hybridMultilevel"/>
    <w:tmpl w:val="A61852A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250601C0"/>
    <w:multiLevelType w:val="hybridMultilevel"/>
    <w:tmpl w:val="6CE61E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7F6B8A"/>
    <w:multiLevelType w:val="hybridMultilevel"/>
    <w:tmpl w:val="DA3CCFF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FC75D2"/>
    <w:multiLevelType w:val="hybridMultilevel"/>
    <w:tmpl w:val="8F483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1720F"/>
    <w:multiLevelType w:val="hybridMultilevel"/>
    <w:tmpl w:val="DCAA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6" w15:restartNumberingAfterBreak="0">
    <w:nsid w:val="3B9B76AB"/>
    <w:multiLevelType w:val="hybridMultilevel"/>
    <w:tmpl w:val="BC48B8E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1B64A8"/>
    <w:multiLevelType w:val="hybridMultilevel"/>
    <w:tmpl w:val="98488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7D5F4D"/>
    <w:multiLevelType w:val="hybridMultilevel"/>
    <w:tmpl w:val="AFB43E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DB3314"/>
    <w:multiLevelType w:val="hybridMultilevel"/>
    <w:tmpl w:val="801E865C"/>
    <w:lvl w:ilvl="0" w:tplc="1A4A0DA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8B02A4"/>
    <w:multiLevelType w:val="hybridMultilevel"/>
    <w:tmpl w:val="F9B64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556284"/>
    <w:multiLevelType w:val="hybridMultilevel"/>
    <w:tmpl w:val="46B02418"/>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3F1CCB"/>
    <w:multiLevelType w:val="hybridMultilevel"/>
    <w:tmpl w:val="8848CB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B56E88"/>
    <w:multiLevelType w:val="hybridMultilevel"/>
    <w:tmpl w:val="3EA2540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4323C1"/>
    <w:multiLevelType w:val="hybridMultilevel"/>
    <w:tmpl w:val="AF4EAE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7F1FC9"/>
    <w:multiLevelType w:val="hybridMultilevel"/>
    <w:tmpl w:val="291C5B4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6055A"/>
    <w:multiLevelType w:val="hybridMultilevel"/>
    <w:tmpl w:val="0AB078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8D370A"/>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5146208"/>
    <w:multiLevelType w:val="hybridMultilevel"/>
    <w:tmpl w:val="36884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1A28D8"/>
    <w:multiLevelType w:val="hybridMultilevel"/>
    <w:tmpl w:val="2560616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D13076"/>
    <w:multiLevelType w:val="multilevel"/>
    <w:tmpl w:val="C44E8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4"/>
  </w:num>
  <w:num w:numId="3">
    <w:abstractNumId w:val="13"/>
  </w:num>
  <w:num w:numId="4">
    <w:abstractNumId w:val="35"/>
  </w:num>
  <w:num w:numId="5">
    <w:abstractNumId w:val="2"/>
  </w:num>
  <w:num w:numId="6">
    <w:abstractNumId w:val="33"/>
  </w:num>
  <w:num w:numId="7">
    <w:abstractNumId w:val="12"/>
  </w:num>
  <w:num w:numId="8">
    <w:abstractNumId w:val="16"/>
  </w:num>
  <w:num w:numId="9">
    <w:abstractNumId w:val="1"/>
  </w:num>
  <w:num w:numId="10">
    <w:abstractNumId w:val="9"/>
  </w:num>
  <w:num w:numId="11">
    <w:abstractNumId w:val="23"/>
  </w:num>
  <w:num w:numId="12">
    <w:abstractNumId w:val="19"/>
  </w:num>
  <w:num w:numId="13">
    <w:abstractNumId w:val="17"/>
  </w:num>
  <w:num w:numId="14">
    <w:abstractNumId w:val="36"/>
  </w:num>
  <w:num w:numId="15">
    <w:abstractNumId w:val="14"/>
  </w:num>
  <w:num w:numId="16">
    <w:abstractNumId w:val="29"/>
  </w:num>
  <w:num w:numId="17">
    <w:abstractNumId w:val="18"/>
  </w:num>
  <w:num w:numId="18">
    <w:abstractNumId w:val="21"/>
  </w:num>
  <w:num w:numId="19">
    <w:abstractNumId w:val="20"/>
  </w:num>
  <w:num w:numId="20">
    <w:abstractNumId w:val="22"/>
  </w:num>
  <w:num w:numId="21">
    <w:abstractNumId w:val="10"/>
  </w:num>
  <w:num w:numId="22">
    <w:abstractNumId w:val="30"/>
  </w:num>
  <w:num w:numId="23">
    <w:abstractNumId w:val="6"/>
  </w:num>
  <w:num w:numId="24">
    <w:abstractNumId w:val="34"/>
  </w:num>
  <w:num w:numId="25">
    <w:abstractNumId w:val="32"/>
  </w:num>
  <w:num w:numId="26">
    <w:abstractNumId w:val="3"/>
  </w:num>
  <w:num w:numId="27">
    <w:abstractNumId w:val="26"/>
  </w:num>
  <w:num w:numId="28">
    <w:abstractNumId w:val="5"/>
  </w:num>
  <w:num w:numId="29">
    <w:abstractNumId w:val="4"/>
  </w:num>
  <w:num w:numId="30">
    <w:abstractNumId w:val="15"/>
  </w:num>
  <w:num w:numId="31">
    <w:abstractNumId w:val="7"/>
  </w:num>
  <w:num w:numId="32">
    <w:abstractNumId w:val="28"/>
  </w:num>
  <w:num w:numId="33">
    <w:abstractNumId w:val="0"/>
  </w:num>
  <w:num w:numId="34">
    <w:abstractNumId w:val="27"/>
  </w:num>
  <w:num w:numId="35">
    <w:abstractNumId w:val="31"/>
  </w:num>
  <w:num w:numId="36">
    <w:abstractNumId w:val="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541B5"/>
    <w:rsid w:val="000603BB"/>
    <w:rsid w:val="00091F24"/>
    <w:rsid w:val="000C53ED"/>
    <w:rsid w:val="000F398F"/>
    <w:rsid w:val="000F43D8"/>
    <w:rsid w:val="00183D32"/>
    <w:rsid w:val="00194F82"/>
    <w:rsid w:val="001D691A"/>
    <w:rsid w:val="00205E0D"/>
    <w:rsid w:val="00217675"/>
    <w:rsid w:val="00217747"/>
    <w:rsid w:val="00246B27"/>
    <w:rsid w:val="00285046"/>
    <w:rsid w:val="002B441D"/>
    <w:rsid w:val="002B72EC"/>
    <w:rsid w:val="002C6AEC"/>
    <w:rsid w:val="002D0213"/>
    <w:rsid w:val="00306F8C"/>
    <w:rsid w:val="00315A88"/>
    <w:rsid w:val="00317AFE"/>
    <w:rsid w:val="00361324"/>
    <w:rsid w:val="00362F75"/>
    <w:rsid w:val="00377ED3"/>
    <w:rsid w:val="00392DF8"/>
    <w:rsid w:val="003A7C2F"/>
    <w:rsid w:val="003C47AA"/>
    <w:rsid w:val="003D5FCE"/>
    <w:rsid w:val="00410E33"/>
    <w:rsid w:val="004142F2"/>
    <w:rsid w:val="004270D2"/>
    <w:rsid w:val="00427B6B"/>
    <w:rsid w:val="00437221"/>
    <w:rsid w:val="00450280"/>
    <w:rsid w:val="00455BCF"/>
    <w:rsid w:val="00472F0C"/>
    <w:rsid w:val="00476FDC"/>
    <w:rsid w:val="004842E7"/>
    <w:rsid w:val="004931AB"/>
    <w:rsid w:val="004B1519"/>
    <w:rsid w:val="004F73E3"/>
    <w:rsid w:val="005037B7"/>
    <w:rsid w:val="005118D0"/>
    <w:rsid w:val="0053295D"/>
    <w:rsid w:val="005357A3"/>
    <w:rsid w:val="00535E5F"/>
    <w:rsid w:val="00551242"/>
    <w:rsid w:val="0059792A"/>
    <w:rsid w:val="005A5A56"/>
    <w:rsid w:val="005A73B4"/>
    <w:rsid w:val="005C177F"/>
    <w:rsid w:val="005F32F5"/>
    <w:rsid w:val="00616D6B"/>
    <w:rsid w:val="00624A7D"/>
    <w:rsid w:val="0066211A"/>
    <w:rsid w:val="006750F9"/>
    <w:rsid w:val="006D7F70"/>
    <w:rsid w:val="006E3BAF"/>
    <w:rsid w:val="006F2389"/>
    <w:rsid w:val="006F4251"/>
    <w:rsid w:val="007179C9"/>
    <w:rsid w:val="007319CD"/>
    <w:rsid w:val="007526D3"/>
    <w:rsid w:val="00753A6A"/>
    <w:rsid w:val="00765A17"/>
    <w:rsid w:val="007B6714"/>
    <w:rsid w:val="007B7BE2"/>
    <w:rsid w:val="007C4814"/>
    <w:rsid w:val="007D25E1"/>
    <w:rsid w:val="007F00F8"/>
    <w:rsid w:val="007F1BC1"/>
    <w:rsid w:val="007F1D52"/>
    <w:rsid w:val="00812830"/>
    <w:rsid w:val="00820F21"/>
    <w:rsid w:val="00823336"/>
    <w:rsid w:val="00834BE1"/>
    <w:rsid w:val="008841FA"/>
    <w:rsid w:val="008A6218"/>
    <w:rsid w:val="008B0C3F"/>
    <w:rsid w:val="008C27B0"/>
    <w:rsid w:val="008D72A9"/>
    <w:rsid w:val="008E0945"/>
    <w:rsid w:val="00904EA8"/>
    <w:rsid w:val="009234D1"/>
    <w:rsid w:val="00926C4B"/>
    <w:rsid w:val="00944175"/>
    <w:rsid w:val="009442B8"/>
    <w:rsid w:val="00981216"/>
    <w:rsid w:val="009A3B51"/>
    <w:rsid w:val="009A79A0"/>
    <w:rsid w:val="009B62D4"/>
    <w:rsid w:val="009C48F6"/>
    <w:rsid w:val="009C52DF"/>
    <w:rsid w:val="009D010B"/>
    <w:rsid w:val="009D0D5F"/>
    <w:rsid w:val="00A02D6B"/>
    <w:rsid w:val="00A07380"/>
    <w:rsid w:val="00A14F1A"/>
    <w:rsid w:val="00A36097"/>
    <w:rsid w:val="00A441EC"/>
    <w:rsid w:val="00AB36B4"/>
    <w:rsid w:val="00AB7E4A"/>
    <w:rsid w:val="00AC2A7C"/>
    <w:rsid w:val="00AC5700"/>
    <w:rsid w:val="00AE3BC2"/>
    <w:rsid w:val="00B07276"/>
    <w:rsid w:val="00B079E6"/>
    <w:rsid w:val="00B46DE4"/>
    <w:rsid w:val="00B9405F"/>
    <w:rsid w:val="00BB7BD1"/>
    <w:rsid w:val="00BE6A52"/>
    <w:rsid w:val="00BE71D4"/>
    <w:rsid w:val="00C0752E"/>
    <w:rsid w:val="00C26BC9"/>
    <w:rsid w:val="00C32B4D"/>
    <w:rsid w:val="00C33D62"/>
    <w:rsid w:val="00C4520D"/>
    <w:rsid w:val="00C5030B"/>
    <w:rsid w:val="00C67D6F"/>
    <w:rsid w:val="00C85524"/>
    <w:rsid w:val="00CA34C1"/>
    <w:rsid w:val="00CF6EE3"/>
    <w:rsid w:val="00D43BDC"/>
    <w:rsid w:val="00D85D01"/>
    <w:rsid w:val="00D94774"/>
    <w:rsid w:val="00DA2988"/>
    <w:rsid w:val="00DC7CF3"/>
    <w:rsid w:val="00DD51BB"/>
    <w:rsid w:val="00DE5F6B"/>
    <w:rsid w:val="00E2399F"/>
    <w:rsid w:val="00E327EB"/>
    <w:rsid w:val="00E709E6"/>
    <w:rsid w:val="00E977BF"/>
    <w:rsid w:val="00ED6D98"/>
    <w:rsid w:val="00EE0282"/>
    <w:rsid w:val="00EE6E6F"/>
    <w:rsid w:val="00F24844"/>
    <w:rsid w:val="00F35122"/>
    <w:rsid w:val="00F364CE"/>
    <w:rsid w:val="00F4422F"/>
    <w:rsid w:val="00F63EE6"/>
    <w:rsid w:val="00F6734C"/>
    <w:rsid w:val="00FA6B25"/>
    <w:rsid w:val="00FD1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7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customStyle="1" w:styleId="Default">
    <w:name w:val="Default"/>
    <w:rsid w:val="00377ED3"/>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D85D01"/>
    <w:pPr>
      <w:ind w:left="720"/>
      <w:contextualSpacing/>
    </w:pPr>
  </w:style>
  <w:style w:type="character" w:customStyle="1" w:styleId="Bodytext2">
    <w:name w:val="Body text (2)_"/>
    <w:basedOn w:val="Predvolenpsmoodseku"/>
    <w:link w:val="Bodytext20"/>
    <w:rsid w:val="00C5030B"/>
    <w:rPr>
      <w:rFonts w:ascii="Tahoma" w:eastAsia="Tahoma" w:hAnsi="Tahoma" w:cs="Tahoma"/>
      <w:sz w:val="18"/>
      <w:szCs w:val="18"/>
      <w:shd w:val="clear" w:color="auto" w:fill="FFFFFF"/>
    </w:rPr>
  </w:style>
  <w:style w:type="paragraph" w:customStyle="1" w:styleId="Bodytext20">
    <w:name w:val="Body text (2)"/>
    <w:basedOn w:val="Normlny"/>
    <w:link w:val="Bodytext2"/>
    <w:rsid w:val="00C5030B"/>
    <w:pPr>
      <w:widowControl w:val="0"/>
      <w:shd w:val="clear" w:color="auto" w:fill="FFFFFF"/>
      <w:spacing w:after="0" w:line="240" w:lineRule="exact"/>
      <w:ind w:hanging="540"/>
    </w:pPr>
    <w:rPr>
      <w:rFonts w:ascii="Tahoma" w:eastAsia="Tahoma" w:hAnsi="Tahoma" w:cs="Tahoma"/>
      <w:sz w:val="18"/>
      <w:szCs w:val="18"/>
    </w:rPr>
  </w:style>
  <w:style w:type="paragraph" w:customStyle="1" w:styleId="wazzatext">
    <w:name w:val="wazza_text"/>
    <w:basedOn w:val="Normlny"/>
    <w:qFormat/>
    <w:rsid w:val="00F24844"/>
    <w:pPr>
      <w:numPr>
        <w:numId w:val="30"/>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F2484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7319CD"/>
  </w:style>
  <w:style w:type="paragraph" w:styleId="Revzia">
    <w:name w:val="Revision"/>
    <w:hidden/>
    <w:uiPriority w:val="99"/>
    <w:semiHidden/>
    <w:rsid w:val="00C2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2259">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123690458">
      <w:bodyDiv w:val="1"/>
      <w:marLeft w:val="0"/>
      <w:marRight w:val="0"/>
      <w:marTop w:val="0"/>
      <w:marBottom w:val="0"/>
      <w:divBdr>
        <w:top w:val="none" w:sz="0" w:space="0" w:color="auto"/>
        <w:left w:val="none" w:sz="0" w:space="0" w:color="auto"/>
        <w:bottom w:val="none" w:sz="0" w:space="0" w:color="auto"/>
        <w:right w:val="none" w:sz="0" w:space="0" w:color="auto"/>
      </w:divBdr>
      <w:divsChild>
        <w:div w:id="1062749877">
          <w:marLeft w:val="0"/>
          <w:marRight w:val="0"/>
          <w:marTop w:val="0"/>
          <w:marBottom w:val="0"/>
          <w:divBdr>
            <w:top w:val="none" w:sz="0" w:space="0" w:color="auto"/>
            <w:left w:val="none" w:sz="0" w:space="0" w:color="auto"/>
            <w:bottom w:val="none" w:sz="0" w:space="0" w:color="auto"/>
            <w:right w:val="none" w:sz="0" w:space="0" w:color="auto"/>
          </w:divBdr>
        </w:div>
        <w:div w:id="41768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11E2-378B-4484-8A60-33CF7F04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5454</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2019-10-17T13:11:00Z</dcterms:created>
  <dcterms:modified xsi:type="dcterms:W3CDTF">2019-10-18T09:35:00Z</dcterms:modified>
</cp:coreProperties>
</file>