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EA" w:rsidRPr="00700E0B" w:rsidRDefault="00536FEA" w:rsidP="00536FE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>Príloha č. 2 súťažných podkladov</w:t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6FEA" w:rsidRPr="00700E0B" w:rsidTr="008C392B">
        <w:trPr>
          <w:trHeight w:val="2700"/>
        </w:trPr>
        <w:tc>
          <w:tcPr>
            <w:tcW w:w="9073" w:type="dxa"/>
          </w:tcPr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hAnsi="Arial Narrow" w:cs="Arial"/>
                <w:b/>
                <w:smallCaps/>
                <w:sz w:val="22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2"/>
              </w:rPr>
              <w:t>kúpnej zmluvy</w:t>
            </w:r>
          </w:p>
        </w:tc>
      </w:tr>
    </w:tbl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br w:type="page"/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C2683" w:rsidRDefault="00536FEA" w:rsidP="00536FEA">
      <w:pPr>
        <w:spacing w:after="120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 xml:space="preserve">KÚPNA ZMLUVA </w:t>
      </w:r>
    </w:p>
    <w:p w:rsidR="00536FEA" w:rsidRPr="007C2683" w:rsidRDefault="00536FEA" w:rsidP="00536FEA">
      <w:pPr>
        <w:spacing w:after="120"/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/>
          <w:b/>
          <w:sz w:val="22"/>
        </w:rPr>
        <w:t xml:space="preserve">č.: </w:t>
      </w:r>
    </w:p>
    <w:p w:rsidR="00536FEA" w:rsidRPr="007C2683" w:rsidRDefault="00536FEA" w:rsidP="00536FEA">
      <w:pPr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uzatvorená podľa § 409 a </w:t>
      </w:r>
      <w:proofErr w:type="spellStart"/>
      <w:r w:rsidRPr="007C2683">
        <w:rPr>
          <w:rFonts w:ascii="Arial Narrow" w:hAnsi="Arial Narrow"/>
          <w:sz w:val="22"/>
        </w:rPr>
        <w:t>nasl</w:t>
      </w:r>
      <w:proofErr w:type="spellEnd"/>
      <w:r w:rsidRPr="007C2683">
        <w:rPr>
          <w:rFonts w:ascii="Arial Narrow" w:hAnsi="Arial Narrow"/>
          <w:sz w:val="22"/>
        </w:rPr>
        <w:t>. zákona č. 513/1991 Zb. Obchodný  zákonník</w:t>
      </w:r>
    </w:p>
    <w:p w:rsidR="00536FEA" w:rsidRPr="007C2683" w:rsidRDefault="00536FEA" w:rsidP="00536FEA">
      <w:pPr>
        <w:jc w:val="center"/>
        <w:rPr>
          <w:rFonts w:ascii="Arial Narrow" w:hAnsi="Arial Narrow" w:cs="Calibri"/>
          <w:bCs/>
          <w:sz w:val="22"/>
        </w:rPr>
      </w:pPr>
      <w:r w:rsidRPr="007C2683">
        <w:rPr>
          <w:rFonts w:ascii="Arial Narrow" w:hAnsi="Arial Narrow"/>
          <w:sz w:val="22"/>
        </w:rPr>
        <w:t>v znení neskorších predpisov (ďalej len „</w:t>
      </w:r>
      <w:r w:rsidRPr="007C2683">
        <w:rPr>
          <w:rFonts w:ascii="Arial Narrow" w:hAnsi="Arial Narrow"/>
          <w:b/>
          <w:sz w:val="22"/>
        </w:rPr>
        <w:t>Obchodný</w:t>
      </w:r>
      <w:r w:rsidRPr="007C2683">
        <w:rPr>
          <w:rFonts w:ascii="Arial Narrow" w:hAnsi="Arial Narrow"/>
          <w:sz w:val="22"/>
        </w:rPr>
        <w:t xml:space="preserve"> </w:t>
      </w:r>
      <w:r w:rsidRPr="007C2683">
        <w:rPr>
          <w:rFonts w:ascii="Arial Narrow" w:hAnsi="Arial Narrow"/>
          <w:b/>
          <w:sz w:val="22"/>
        </w:rPr>
        <w:t>zákonník</w:t>
      </w:r>
      <w:r w:rsidRPr="007C2683">
        <w:rPr>
          <w:rFonts w:ascii="Arial Narrow" w:hAnsi="Arial Narrow"/>
          <w:sz w:val="22"/>
        </w:rPr>
        <w:t xml:space="preserve">“) a v súlade so  zákonom č. 343/2015 Z. z. </w:t>
      </w:r>
      <w:r w:rsidRPr="007C2683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:rsidR="00536FEA" w:rsidRPr="007C2683" w:rsidRDefault="00536FEA" w:rsidP="00536FEA">
      <w:pPr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 w:cs="Calibri"/>
          <w:bCs/>
          <w:sz w:val="22"/>
        </w:rPr>
        <w:t>v znení neskorších predpisov (ďalej len „</w:t>
      </w:r>
      <w:r w:rsidRPr="007C2683">
        <w:rPr>
          <w:rFonts w:ascii="Arial Narrow" w:hAnsi="Arial Narrow" w:cs="Calibri"/>
          <w:b/>
          <w:bCs/>
          <w:sz w:val="22"/>
        </w:rPr>
        <w:t>zákon č. 343/2015 Z. z.</w:t>
      </w:r>
      <w:r w:rsidRPr="007C2683">
        <w:rPr>
          <w:rFonts w:ascii="Arial Narrow" w:hAnsi="Arial Narrow" w:cs="Calibri"/>
          <w:bCs/>
          <w:sz w:val="22"/>
        </w:rPr>
        <w:t>“)</w:t>
      </w:r>
    </w:p>
    <w:p w:rsidR="00536FEA" w:rsidRPr="007C2683" w:rsidRDefault="00536FEA" w:rsidP="00536FEA">
      <w:pPr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(ďalej len „</w:t>
      </w:r>
      <w:r w:rsidRPr="007C2683">
        <w:rPr>
          <w:rFonts w:ascii="Arial Narrow" w:hAnsi="Arial Narrow"/>
          <w:b/>
          <w:sz w:val="22"/>
        </w:rPr>
        <w:t>zmluva</w:t>
      </w:r>
      <w:r w:rsidRPr="007C2683">
        <w:rPr>
          <w:rFonts w:ascii="Arial Narrow" w:hAnsi="Arial Narrow"/>
          <w:sz w:val="22"/>
        </w:rPr>
        <w:t>“)</w:t>
      </w:r>
    </w:p>
    <w:p w:rsidR="00536FEA" w:rsidRPr="007C2683" w:rsidRDefault="00536FEA" w:rsidP="00536FEA">
      <w:pPr>
        <w:rPr>
          <w:rFonts w:ascii="Arial Narrow" w:hAnsi="Arial Narrow"/>
          <w:sz w:val="22"/>
        </w:rPr>
      </w:pPr>
    </w:p>
    <w:p w:rsidR="00536FEA" w:rsidRPr="007C2683" w:rsidRDefault="00536FEA" w:rsidP="00536FEA">
      <w:pPr>
        <w:rPr>
          <w:rFonts w:ascii="Arial Narrow" w:hAnsi="Arial Narrow"/>
          <w:sz w:val="22"/>
        </w:rPr>
      </w:pPr>
    </w:p>
    <w:p w:rsidR="00536FEA" w:rsidRPr="007C2683" w:rsidRDefault="00536FEA" w:rsidP="00536FEA">
      <w:pPr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>Článok I.</w:t>
      </w:r>
    </w:p>
    <w:p w:rsidR="00536FEA" w:rsidRPr="007C2683" w:rsidRDefault="00536FEA" w:rsidP="00536FEA">
      <w:pPr>
        <w:pStyle w:val="Odsekzoznamu"/>
        <w:ind w:left="360"/>
        <w:jc w:val="center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b/>
          <w:sz w:val="22"/>
          <w:szCs w:val="22"/>
        </w:rPr>
        <w:t>Zmluvné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Kupujúci: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tabs>
                <w:tab w:val="left" w:pos="13892"/>
              </w:tabs>
              <w:autoSpaceDE w:val="0"/>
              <w:autoSpaceDN w:val="0"/>
              <w:adjustRightInd w:val="0"/>
              <w:ind w:left="-1345" w:firstLine="1345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 Narrow"/>
                <w:b/>
                <w:bCs/>
                <w:sz w:val="22"/>
              </w:rPr>
              <w:t>Slovenská republika zastúpená Ministerstvom vnútra</w:t>
            </w:r>
          </w:p>
          <w:p w:rsidR="00536FEA" w:rsidRPr="007C2683" w:rsidRDefault="00536FEA" w:rsidP="008C392B">
            <w:pPr>
              <w:tabs>
                <w:tab w:val="left" w:pos="13892"/>
              </w:tabs>
              <w:autoSpaceDE w:val="0"/>
              <w:autoSpaceDN w:val="0"/>
              <w:adjustRightInd w:val="0"/>
              <w:ind w:left="-1345" w:firstLine="1345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 Narrow"/>
                <w:b/>
                <w:bCs/>
                <w:sz w:val="22"/>
              </w:rPr>
              <w:t>Slovenskej republiky</w:t>
            </w: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</w:pPr>
            <w:r w:rsidRPr="007C2683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 xml:space="preserve">Ing. Ondrej </w:t>
            </w:r>
            <w:proofErr w:type="spellStart"/>
            <w:r w:rsidRPr="007C2683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Varačka</w:t>
            </w:r>
            <w:proofErr w:type="spellEnd"/>
          </w:p>
          <w:p w:rsidR="00536FEA" w:rsidRPr="007C2683" w:rsidRDefault="00536FEA" w:rsidP="008C392B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 na základe plnej moci č. p.: KM-OPS4-2018/001604-117 zo dňa 30.04.2018</w:t>
            </w: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:rsidTr="008C392B">
        <w:tc>
          <w:tcPr>
            <w:tcW w:w="4219" w:type="dxa"/>
            <w:shd w:val="clear" w:color="auto" w:fill="auto"/>
          </w:tcPr>
          <w:p w:rsidR="00536FEA" w:rsidRPr="007C2683" w:rsidRDefault="00536FEA" w:rsidP="008C392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 Narrow"/>
                <w:sz w:val="22"/>
              </w:rPr>
              <w:t>(ďalej len „</w:t>
            </w:r>
            <w:r w:rsidRPr="007C2683">
              <w:rPr>
                <w:rFonts w:ascii="Arial Narrow" w:hAnsi="Arial Narrow" w:cs="Arial Narrow"/>
                <w:b/>
                <w:sz w:val="22"/>
              </w:rPr>
              <w:t>kupujúci</w:t>
            </w:r>
            <w:r w:rsidRPr="007C2683">
              <w:rPr>
                <w:rFonts w:ascii="Arial Narrow" w:hAnsi="Arial Narrow" w:cs="Arial Narrow"/>
                <w:sz w:val="22"/>
              </w:rPr>
              <w:t>“)</w:t>
            </w:r>
          </w:p>
        </w:tc>
        <w:tc>
          <w:tcPr>
            <w:tcW w:w="5387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536FEA" w:rsidRPr="007C2683" w:rsidRDefault="00536FEA" w:rsidP="00536FEA">
      <w:pPr>
        <w:rPr>
          <w:rFonts w:ascii="Arial Narrow" w:hAnsi="Arial Narrow"/>
          <w:sz w:val="22"/>
        </w:rPr>
      </w:pPr>
    </w:p>
    <w:p w:rsidR="00536FEA" w:rsidRPr="007C2683" w:rsidRDefault="00536FEA" w:rsidP="00536FEA">
      <w:pPr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tabs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"/>
                <w:sz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lastRenderedPageBreak/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 w:cs="Arial"/>
                <w:sz w:val="22"/>
              </w:rPr>
              <w:t>Internetová adresa (URL):</w:t>
            </w:r>
            <w:r w:rsidRPr="007C2683">
              <w:rPr>
                <w:rFonts w:ascii="Arial Narrow" w:hAnsi="Arial Narrow" w:cs="Arial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:rsidTr="008C392B"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(ďalej len „</w:t>
            </w:r>
            <w:r w:rsidRPr="007C2683">
              <w:rPr>
                <w:rFonts w:ascii="Arial Narrow" w:hAnsi="Arial Narrow"/>
                <w:b/>
                <w:sz w:val="22"/>
              </w:rPr>
              <w:t>predávajúci</w:t>
            </w:r>
            <w:r w:rsidRPr="007C2683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536FEA" w:rsidRPr="007C2683" w:rsidRDefault="00536FEA" w:rsidP="008C392B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536FEA" w:rsidRPr="007C2683" w:rsidRDefault="00536FEA" w:rsidP="00536FEA">
      <w:pPr>
        <w:rPr>
          <w:rFonts w:ascii="Arial Narrow" w:hAnsi="Arial Narrow"/>
          <w:sz w:val="22"/>
        </w:rPr>
      </w:pPr>
    </w:p>
    <w:p w:rsidR="00536FEA" w:rsidRPr="007C2683" w:rsidRDefault="00536FEA" w:rsidP="00536FEA">
      <w:pPr>
        <w:rPr>
          <w:rFonts w:ascii="Arial Narrow" w:hAnsi="Arial Narrow"/>
          <w:sz w:val="22"/>
        </w:rPr>
      </w:pPr>
    </w:p>
    <w:p w:rsidR="00536FEA" w:rsidRPr="007C2683" w:rsidRDefault="00536FEA" w:rsidP="00536FEA">
      <w:pPr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(kupujúci a predávajúci ďalej len „</w:t>
      </w:r>
      <w:r w:rsidRPr="007C2683">
        <w:rPr>
          <w:rFonts w:ascii="Arial Narrow" w:hAnsi="Arial Narrow"/>
          <w:b/>
          <w:sz w:val="22"/>
        </w:rPr>
        <w:t>Zmluvné strany</w:t>
      </w:r>
      <w:r w:rsidRPr="007C2683">
        <w:rPr>
          <w:rFonts w:ascii="Arial Narrow" w:hAnsi="Arial Narrow"/>
          <w:sz w:val="22"/>
        </w:rPr>
        <w:t>“)</w:t>
      </w:r>
    </w:p>
    <w:p w:rsidR="00536FEA" w:rsidRPr="007C2683" w:rsidRDefault="00536FEA" w:rsidP="00536FEA">
      <w:pPr>
        <w:jc w:val="center"/>
        <w:rPr>
          <w:rFonts w:ascii="Arial Narrow" w:hAnsi="Arial Narrow"/>
          <w:sz w:val="22"/>
        </w:rPr>
      </w:pPr>
    </w:p>
    <w:p w:rsidR="00536FEA" w:rsidRPr="007C2683" w:rsidRDefault="00536FEA" w:rsidP="00536FEA">
      <w:pPr>
        <w:jc w:val="center"/>
        <w:rPr>
          <w:rFonts w:ascii="Arial Narrow" w:hAnsi="Arial Narrow"/>
          <w:sz w:val="22"/>
        </w:rPr>
      </w:pP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II.</w:t>
      </w:r>
    </w:p>
    <w:p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Úvodné ustanovenie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7C2683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7C2683">
        <w:rPr>
          <w:rFonts w:ascii="Arial Narrow" w:hAnsi="Arial Narrow" w:cs="Calibri"/>
          <w:sz w:val="22"/>
          <w:szCs w:val="22"/>
        </w:rPr>
        <w:t xml:space="preserve"> na predmet zákazky "</w:t>
      </w:r>
      <w:r w:rsidRPr="007C2683">
        <w:rPr>
          <w:rFonts w:ascii="Arial Narrow" w:hAnsi="Arial Narrow"/>
          <w:sz w:val="22"/>
          <w:szCs w:val="22"/>
        </w:rPr>
        <w:t xml:space="preserve"> </w:t>
      </w:r>
      <w:r w:rsidRPr="007C2683">
        <w:rPr>
          <w:rFonts w:ascii="Arial Narrow" w:hAnsi="Arial Narrow" w:cs="Calibri"/>
          <w:sz w:val="22"/>
          <w:szCs w:val="22"/>
        </w:rPr>
        <w:t>Kompaktné snímacie záznamové zariadenia“</w:t>
      </w:r>
      <w:r w:rsidRPr="007C2683">
        <w:rPr>
          <w:rFonts w:ascii="Arial Narrow" w:hAnsi="Arial Narrow" w:cs="Calibri"/>
          <w:bCs/>
          <w:sz w:val="22"/>
          <w:szCs w:val="22"/>
        </w:rPr>
        <w:t>, ktorej oznámenie o vyhlásení verejného obstarávania bolo uverejnené vo Vestníku verejného obstarávania č. ..../2019 dňa ......2019 pod značkou .............-MST (ďalej len „Verejné obstarávanie“).</w:t>
      </w: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III.</w:t>
      </w:r>
    </w:p>
    <w:p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Predmet zmluvy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Predmetom tejto zmluvy je záväzok predávajúceho dodať</w:t>
      </w:r>
      <w:r w:rsidRPr="007C2683">
        <w:rPr>
          <w:rFonts w:ascii="Arial Narrow" w:hAnsi="Arial Narrow"/>
          <w:sz w:val="22"/>
          <w:szCs w:val="22"/>
        </w:rPr>
        <w:t xml:space="preserve"> 391 kompaktných snímacích záznamových zariadení</w:t>
      </w:r>
      <w:r w:rsidRPr="007C2683">
        <w:rPr>
          <w:rFonts w:ascii="Arial Narrow" w:hAnsi="Arial Narrow" w:cs="Calibri"/>
          <w:sz w:val="22"/>
          <w:szCs w:val="22"/>
        </w:rPr>
        <w:t xml:space="preserve"> vrátane príslušenstva, programového vybavenia, technickej dokumentácie (ďalej len „tovar“), v súlade s prílohou č.1 tejto zmluvy a záväzok kupujúceho tovar prevziať a zaplatiť za neho predávajúcemu kúpnu cenu podľa článku V. tejto zmluvy (ďalej len „predmet zmluvy“). Súčasťou dodávky tovaru je najmä jeho doprava do miesta dodania, overenie funkčnosti zariadenia priamo u kupujúceho v plnom rozsahu, zaškolenie obsluhy, poskytovanie autorizovaného záručného servisu na náklady predávajúceho.</w:t>
      </w: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Článok IV</w:t>
      </w:r>
      <w:r w:rsidRPr="007C2683">
        <w:rPr>
          <w:rFonts w:ascii="Arial Narrow" w:hAnsi="Arial Narrow" w:cs="Calibri"/>
          <w:sz w:val="22"/>
          <w:szCs w:val="22"/>
        </w:rPr>
        <w:t>.</w:t>
      </w:r>
    </w:p>
    <w:p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Dodacie podmienky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Predávajúci sa zaväzuje dodať tovar v súlade s dohodnutými technickými a funkčnými charakteristikami, všeobecne záväznými právnymi predpismi platnými na území SR, technickými normami a podmienkami tejto zmluvy. Predávajúci sa zaväzuje súčasne s odovzdaním tovaru odovzdať kupujúcemu aj všetky doklady, ktoré sa na dodaný tovar vzťahujú, a to najmä </w:t>
      </w:r>
      <w:r w:rsidRPr="007C2683">
        <w:rPr>
          <w:rFonts w:ascii="Arial Narrow" w:hAnsi="Arial Narrow"/>
          <w:sz w:val="22"/>
          <w:szCs w:val="22"/>
        </w:rPr>
        <w:t xml:space="preserve">technický popis, montážny predpis, návod na obsluhu a použitie prístroja a programového vybavenia pre vyhodnotenie a archiváciu dokumentácie a </w:t>
      </w:r>
      <w:r w:rsidRPr="007C2683">
        <w:rPr>
          <w:rFonts w:ascii="Arial Narrow" w:hAnsi="Arial Narrow" w:cs="Arial"/>
          <w:sz w:val="22"/>
          <w:szCs w:val="22"/>
        </w:rPr>
        <w:t xml:space="preserve">dokument preukazujúci prvotné overenie určeného meradla v zmysle § 26 zákona č.157/2018 Z. z. o metrológii a o zmene a doplnení niektorých zákonov </w:t>
      </w:r>
      <w:r w:rsidRPr="007C2683">
        <w:rPr>
          <w:rFonts w:ascii="Arial Narrow" w:hAnsi="Arial Narrow"/>
          <w:sz w:val="22"/>
          <w:szCs w:val="22"/>
        </w:rPr>
        <w:t xml:space="preserve">(ďalej len „zákon o metrológii“) </w:t>
      </w:r>
      <w:r w:rsidRPr="007C2683">
        <w:rPr>
          <w:rFonts w:ascii="Arial Narrow" w:hAnsi="Arial Narrow" w:cs="Arial"/>
          <w:sz w:val="22"/>
          <w:szCs w:val="22"/>
        </w:rPr>
        <w:t xml:space="preserve">preukazujúci platnosť schválenia typu určeného meradla pre používanie v Slovenskej republike. </w:t>
      </w:r>
      <w:r w:rsidRPr="007C2683">
        <w:rPr>
          <w:rFonts w:ascii="Arial Narrow" w:hAnsi="Arial Narrow" w:cs="Calibri"/>
          <w:sz w:val="22"/>
          <w:szCs w:val="22"/>
        </w:rPr>
        <w:t xml:space="preserve">   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lastRenderedPageBreak/>
        <w:t xml:space="preserve">Predávajúci sa zaväzuje odovzdať tovar Kupujúcemu v lehote do troch (3) mesiacov odo dňa nadobudnutia účinnosti tejto zmluvy. </w:t>
      </w:r>
      <w:r w:rsidRPr="007C2683">
        <w:rPr>
          <w:rFonts w:ascii="Arial Narrow" w:hAnsi="Arial Narrow"/>
          <w:sz w:val="22"/>
          <w:szCs w:val="22"/>
        </w:rPr>
        <w:t>Zmluvné strany sa dohodli, že predávajúci môže dodať tovar v lehote podľa prvej vety tohto bodu zmluvy aj po častiach.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7C2683">
        <w:rPr>
          <w:rFonts w:ascii="Arial Narrow" w:hAnsi="Arial Narrow" w:cs="Arial"/>
          <w:sz w:val="22"/>
          <w:szCs w:val="22"/>
        </w:rPr>
        <w:t xml:space="preserve">Ministerstvo vnútra SR, Sklad na Račianskej 45, zo strany </w:t>
      </w:r>
      <w:proofErr w:type="spellStart"/>
      <w:r w:rsidRPr="007C2683">
        <w:rPr>
          <w:rFonts w:ascii="Arial Narrow" w:hAnsi="Arial Narrow" w:cs="Arial"/>
          <w:sz w:val="22"/>
          <w:szCs w:val="22"/>
        </w:rPr>
        <w:t>Legerského</w:t>
      </w:r>
      <w:proofErr w:type="spellEnd"/>
      <w:r w:rsidRPr="007C2683">
        <w:rPr>
          <w:rFonts w:ascii="Arial Narrow" w:hAnsi="Arial Narrow" w:cs="Arial"/>
          <w:sz w:val="22"/>
          <w:szCs w:val="22"/>
        </w:rPr>
        <w:t xml:space="preserve"> 1, 832 56 Bratislava.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Deň dodania tovaru písomne alebo elektronicky oznámi predávajúci kupujúcemu najneskôr tri (3) pracovné dni vopred. 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Po prevzatí tovaru predávajúci vyhotoví dodací list. Kupujúci po prevzatí tovaru dodací list písomne potvrdí. Kupujúci môže po prevzatí tovaru riadne tovar užívať a Predávajúci sa mu zaväzuje toto užívanie dňom prevzatia umožniť. </w:t>
      </w:r>
      <w:r w:rsidRPr="007C2683">
        <w:rPr>
          <w:rFonts w:ascii="Arial Narrow" w:hAnsi="Arial Narrow"/>
          <w:color w:val="000000"/>
          <w:sz w:val="22"/>
          <w:szCs w:val="22"/>
        </w:rPr>
        <w:t xml:space="preserve">Kupujúci si vyhradzuje právo prevziať iba tovar funkčný, bez zjavných </w:t>
      </w:r>
      <w:proofErr w:type="spellStart"/>
      <w:r w:rsidRPr="007C2683">
        <w:rPr>
          <w:rFonts w:ascii="Arial Narrow" w:hAnsi="Arial Narrow"/>
          <w:color w:val="000000"/>
          <w:sz w:val="22"/>
          <w:szCs w:val="22"/>
        </w:rPr>
        <w:t>vád</w:t>
      </w:r>
      <w:proofErr w:type="spellEnd"/>
      <w:r w:rsidRPr="007C2683">
        <w:rPr>
          <w:rFonts w:ascii="Arial Narrow" w:hAnsi="Arial Narrow"/>
          <w:color w:val="000000"/>
          <w:sz w:val="22"/>
          <w:szCs w:val="22"/>
        </w:rPr>
        <w:t>, dodaný v kompletnom stave a v požadovanom množstve. V opačnom prípade si vyhradzuje právo nepodpísať dodací list, neprebrať dodaný tovar a nezaplatiť cenu za neprebraný tovar.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najmä:</w:t>
      </w:r>
    </w:p>
    <w:p w:rsidR="00536FEA" w:rsidRPr="007C2683" w:rsidRDefault="00536FEA" w:rsidP="00536FEA">
      <w:pPr>
        <w:pStyle w:val="CTL"/>
        <w:numPr>
          <w:ilvl w:val="1"/>
          <w:numId w:val="13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miesto pre inštalovanie a prevádzku tovaru,</w:t>
      </w:r>
    </w:p>
    <w:p w:rsidR="00536FEA" w:rsidRPr="007C2683" w:rsidRDefault="00536FEA" w:rsidP="00536FEA">
      <w:pPr>
        <w:pStyle w:val="CTL"/>
        <w:numPr>
          <w:ilvl w:val="1"/>
          <w:numId w:val="13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médiá potrebné pre prevádzku tovaru,</w:t>
      </w:r>
    </w:p>
    <w:p w:rsidR="00536FEA" w:rsidRPr="007C2683" w:rsidRDefault="00536FEA" w:rsidP="00536FEA">
      <w:pPr>
        <w:pStyle w:val="CTL"/>
        <w:numPr>
          <w:ilvl w:val="1"/>
          <w:numId w:val="13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spacing w:after="0" w:line="24" w:lineRule="atLeast"/>
        <w:ind w:left="1418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3, a to bezodkladne po tom, ako sa o tejto skutočnosti dozvie. 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 (5) pracovných dní odo dňa zmeny subdodávateľa predložiť kupujúcemu informácie o novom subdodávateľovi v rozsahu údajov podľa bodu 4.9 tohto článku a predmety subdodávok a čestného vyhlásenia, že každý navrhnutý subdodávateľ spĺňa alebo najneskôr v čase plnenia bude spĺňať podmienky účasti podľa § 32 ods. 1 zákona </w:t>
      </w: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7C2683">
        <w:rPr>
          <w:rFonts w:ascii="Arial Narrow" w:hAnsi="Arial Narrow"/>
          <w:sz w:val="22"/>
          <w:szCs w:val="22"/>
        </w:rPr>
        <w:t xml:space="preserve">pričom pri výbere subdodávateľa musí predávajúci  postupovať tak, aby vynaložené náklady na zabezpečenie plnenia na základe zmluvy o subdodávke boli primerané jeho kvalite a cene. 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bCs/>
          <w:sz w:val="22"/>
          <w:szCs w:val="22"/>
        </w:rPr>
        <w:t>Predávajúci</w:t>
      </w:r>
      <w:r w:rsidRPr="007C2683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7C2683">
        <w:rPr>
          <w:rFonts w:ascii="Arial Narrow" w:hAnsi="Arial Narrow"/>
          <w:sz w:val="22"/>
          <w:szCs w:val="22"/>
        </w:rPr>
        <w:t>ľ</w:t>
      </w:r>
      <w:r w:rsidRPr="007C2683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7C2683">
        <w:rPr>
          <w:rFonts w:ascii="Arial Narrow" w:hAnsi="Arial Narrow"/>
          <w:sz w:val="22"/>
          <w:szCs w:val="22"/>
        </w:rPr>
        <w:t>ť</w:t>
      </w:r>
      <w:r w:rsidRPr="007C2683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7C2683">
        <w:rPr>
          <w:rFonts w:ascii="Arial Narrow" w:hAnsi="Arial Narrow"/>
          <w:sz w:val="22"/>
          <w:szCs w:val="22"/>
        </w:rPr>
        <w:t>ľ</w:t>
      </w:r>
      <w:r w:rsidRPr="007C2683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Vlastnícke právo k dodanému tovaru prechádza na kupujúceho dňom jeho dodania a prevzatia kupujúcim </w:t>
      </w:r>
      <w:r w:rsidRPr="007C2683">
        <w:rPr>
          <w:rFonts w:ascii="Arial Narrow" w:hAnsi="Arial Narrow"/>
          <w:sz w:val="22"/>
          <w:szCs w:val="22"/>
        </w:rPr>
        <w:lastRenderedPageBreak/>
        <w:t>na základe dodacieho listu vyhotoveného Predávajúcim.</w:t>
      </w:r>
    </w:p>
    <w:p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Nebezpečenstvo škody na tovare prechádza na Kupujúceho dňom jeho prevzatia kupujúcim na základe dodacieho listu vyhotoveného predávajúcim.</w:t>
      </w: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V.</w:t>
      </w:r>
    </w:p>
    <w:p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Kúpna cena a platobné podmienky</w:t>
      </w:r>
    </w:p>
    <w:p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Zálohové platby ani platba vopred sa neumožňujú. Úhrada ceny sa uskutoční po prevzatí tovaru kupujúcim, formou prevodu na bankový účet predávajúceho uvedeného v záhlaví tejto zmluvy.</w:t>
      </w:r>
      <w:r w:rsidRPr="007C2683">
        <w:rPr>
          <w:rFonts w:ascii="Arial Narrow" w:hAnsi="Arial Narrow"/>
          <w:i/>
          <w:sz w:val="22"/>
          <w:szCs w:val="22"/>
        </w:rPr>
        <w:t xml:space="preserve"> </w:t>
      </w:r>
      <w:r w:rsidRPr="007C2683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kupujúceho.</w:t>
      </w:r>
    </w:p>
    <w:p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Neoddeliteľnou súčasťou faktúry bude dodací list potvrdený kupujúcim. </w:t>
      </w:r>
    </w:p>
    <w:p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Faktúra musí spĺňať všetky náležitosti daňového dokladu v zmysle zákona č. 222/2004 Z. z. o dani z pridanej hodnoty v znení neskorších predpisov. V prípade, že faktúra bude obsahovať nesprávne alebo neúplné údaje, alebo nebude mať náležitosti daňového dokladu,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7C2683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VI.</w:t>
      </w:r>
    </w:p>
    <w:p w:rsidR="00536FEA" w:rsidRPr="007C2683" w:rsidRDefault="00536FEA" w:rsidP="00536FEA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Záručná doba a zodpovednosť za </w:t>
      </w:r>
      <w:proofErr w:type="spellStart"/>
      <w:r w:rsidRPr="007C2683">
        <w:rPr>
          <w:rFonts w:ascii="Arial Narrow" w:hAnsi="Arial Narrow"/>
          <w:sz w:val="22"/>
          <w:szCs w:val="22"/>
        </w:rPr>
        <w:t>vady</w:t>
      </w:r>
      <w:proofErr w:type="spellEnd"/>
    </w:p>
    <w:p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Záručná doba na tovar je dvadsaťštyri (24) mesiacov od prevzatia tovaru kupujúcim, </w:t>
      </w:r>
      <w:r w:rsidRPr="007C2683">
        <w:rPr>
          <w:rFonts w:ascii="Arial Narrow" w:hAnsi="Arial Narrow"/>
          <w:color w:val="000000"/>
          <w:sz w:val="22"/>
          <w:szCs w:val="22"/>
        </w:rPr>
        <w:t>pokiaľ na záručnom liste, v Prílohe č. 1 alebo obale takého tovaru nie je vyznačená dlhšia záručná doba podľa záručných podmienok výrobcu</w:t>
      </w:r>
      <w:r w:rsidRPr="007C2683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7C2683">
        <w:rPr>
          <w:rFonts w:ascii="Arial Narrow" w:hAnsi="Arial Narrow"/>
          <w:sz w:val="22"/>
          <w:szCs w:val="22"/>
        </w:rPr>
        <w:t>vada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odstraňovaná. 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sa zaväzuje v prípade </w:t>
      </w:r>
      <w:proofErr w:type="spellStart"/>
      <w:r w:rsidRPr="007C2683">
        <w:rPr>
          <w:rFonts w:ascii="Arial Narrow" w:hAnsi="Arial Narrow"/>
          <w:sz w:val="22"/>
          <w:szCs w:val="22"/>
        </w:rPr>
        <w:t>vady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tovaru zabezpečiť nástup servisného technika do dvadsaťštyri (24) hodín od uplatnenia reklamácie a odstrániť </w:t>
      </w:r>
      <w:proofErr w:type="spellStart"/>
      <w:r w:rsidRPr="007C2683">
        <w:rPr>
          <w:rFonts w:ascii="Arial Narrow" w:hAnsi="Arial Narrow"/>
          <w:sz w:val="22"/>
          <w:szCs w:val="22"/>
        </w:rPr>
        <w:t>vadu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najneskôr v lehote do desiatich (10) dní odo dňa uplatnenia reklamácie. V prípade nemožnosti odstrániť </w:t>
      </w:r>
      <w:proofErr w:type="spellStart"/>
      <w:r w:rsidRPr="007C2683">
        <w:rPr>
          <w:rFonts w:ascii="Arial Narrow" w:hAnsi="Arial Narrow"/>
          <w:sz w:val="22"/>
          <w:szCs w:val="22"/>
        </w:rPr>
        <w:t>vadu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do desiatich (10) dní sa predávajúci zaväzuje bezodplatne poskytnúť kupujúcemu počas doby odstraňovania </w:t>
      </w:r>
      <w:proofErr w:type="spellStart"/>
      <w:r w:rsidRPr="007C2683">
        <w:rPr>
          <w:rFonts w:ascii="Arial Narrow" w:hAnsi="Arial Narrow"/>
          <w:sz w:val="22"/>
          <w:szCs w:val="22"/>
        </w:rPr>
        <w:t>vady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plnohodnotnú náhradu tovaru.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Zmluvné strany sa dohodli, že predávajúci počas doby trvania záručnej doby bude poskytovať autorizované záručné servisné služby, a to najmä technické prehliadky, údržbu a opravy </w:t>
      </w:r>
      <w:proofErr w:type="spellStart"/>
      <w:r w:rsidRPr="007C2683">
        <w:rPr>
          <w:rFonts w:ascii="Arial Narrow" w:hAnsi="Arial Narrow"/>
          <w:sz w:val="22"/>
          <w:szCs w:val="22"/>
        </w:rPr>
        <w:t>vád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dodaného tovaru.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sa zaväzuje vykonávať autorizovaný záručný servis podľa aktuálnych platných smerníc o servisných službách a podľa podmienok upravujúcich zodpovednosť za </w:t>
      </w:r>
      <w:proofErr w:type="spellStart"/>
      <w:r w:rsidRPr="007C2683">
        <w:rPr>
          <w:rFonts w:ascii="Arial Narrow" w:hAnsi="Arial Narrow"/>
          <w:sz w:val="22"/>
          <w:szCs w:val="22"/>
        </w:rPr>
        <w:t>vady</w:t>
      </w:r>
      <w:proofErr w:type="spellEnd"/>
      <w:r w:rsidRPr="007C2683">
        <w:rPr>
          <w:rFonts w:ascii="Arial Narrow" w:hAnsi="Arial Narrow"/>
          <w:sz w:val="22"/>
          <w:szCs w:val="22"/>
        </w:rPr>
        <w:t>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sa zaväzuje bezplatne odstrániť oprávnené reklamácie </w:t>
      </w:r>
      <w:proofErr w:type="spellStart"/>
      <w:r w:rsidRPr="007C2683">
        <w:rPr>
          <w:rFonts w:ascii="Arial Narrow" w:hAnsi="Arial Narrow"/>
          <w:sz w:val="22"/>
          <w:szCs w:val="22"/>
        </w:rPr>
        <w:t>vád</w:t>
      </w:r>
      <w:proofErr w:type="spellEnd"/>
      <w:r w:rsidRPr="007C2683">
        <w:rPr>
          <w:rFonts w:ascii="Arial Narrow" w:hAnsi="Arial Narrow"/>
          <w:sz w:val="22"/>
          <w:szCs w:val="22"/>
        </w:rPr>
        <w:t xml:space="preserve"> dodaného tovaru</w:t>
      </w:r>
      <w:r w:rsidRPr="007C2683">
        <w:rPr>
          <w:rFonts w:ascii="Arial Narrow" w:hAnsi="Arial Narrow" w:cs="Calibri"/>
          <w:sz w:val="22"/>
          <w:szCs w:val="22"/>
        </w:rPr>
        <w:t xml:space="preserve">. Predávajúci nezodpovedá za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vady</w:t>
      </w:r>
      <w:proofErr w:type="spellEnd"/>
      <w:r w:rsidRPr="007C2683">
        <w:rPr>
          <w:rFonts w:ascii="Arial Narrow" w:hAnsi="Arial Narrow" w:cs="Calibri"/>
          <w:sz w:val="22"/>
          <w:szCs w:val="22"/>
        </w:rPr>
        <w:t>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Kupujúci za zaväzuje, že reklamáciu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vady</w:t>
      </w:r>
      <w:proofErr w:type="spellEnd"/>
      <w:r w:rsidRPr="007C2683">
        <w:rPr>
          <w:rFonts w:ascii="Arial Narrow" w:hAnsi="Arial Narrow" w:cs="Calibri"/>
          <w:sz w:val="22"/>
          <w:szCs w:val="22"/>
        </w:rPr>
        <w:t xml:space="preserve"> zo záruky tovaru uplatní bez zbytočného odkladu po jej zistení, písomnou formou, oprávnenému zástupcovi predávajúceho.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lastRenderedPageBreak/>
        <w:t xml:space="preserve">Kupujúci je oprávnený v prípade dodania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7C2683">
        <w:rPr>
          <w:rFonts w:ascii="Arial Narrow" w:hAnsi="Arial Narrow" w:cs="Calibri"/>
          <w:sz w:val="22"/>
          <w:szCs w:val="22"/>
        </w:rPr>
        <w:t xml:space="preserve"> tovaru požadovať::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a)</w:t>
      </w:r>
      <w:r w:rsidRPr="007C2683">
        <w:rPr>
          <w:rFonts w:ascii="Arial Narrow" w:hAnsi="Arial Narrow" w:cs="Calibri"/>
          <w:sz w:val="22"/>
          <w:szCs w:val="22"/>
        </w:rPr>
        <w:tab/>
        <w:t xml:space="preserve">odstránenie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vád</w:t>
      </w:r>
      <w:proofErr w:type="spellEnd"/>
      <w:r w:rsidRPr="007C2683">
        <w:rPr>
          <w:rFonts w:ascii="Arial Narrow" w:hAnsi="Arial Narrow" w:cs="Calibri"/>
          <w:sz w:val="22"/>
          <w:szCs w:val="22"/>
        </w:rPr>
        <w:t xml:space="preserve"> tovaru, ak sú opraviteľné,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b)</w:t>
      </w:r>
      <w:r w:rsidRPr="007C2683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c)</w:t>
      </w:r>
      <w:r w:rsidRPr="007C2683">
        <w:rPr>
          <w:rFonts w:ascii="Arial Narrow" w:hAnsi="Arial Narrow" w:cs="Calibri"/>
          <w:sz w:val="22"/>
          <w:szCs w:val="22"/>
        </w:rPr>
        <w:tab/>
        <w:t xml:space="preserve">výmenu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7C2683">
        <w:rPr>
          <w:rFonts w:ascii="Arial Narrow" w:hAnsi="Arial Narrow" w:cs="Calibri"/>
          <w:sz w:val="22"/>
          <w:szCs w:val="22"/>
        </w:rPr>
        <w:t xml:space="preserve"> tovaru za tovar bez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vád</w:t>
      </w:r>
      <w:proofErr w:type="spellEnd"/>
      <w:r w:rsidRPr="007C2683">
        <w:rPr>
          <w:rFonts w:ascii="Arial Narrow" w:hAnsi="Arial Narrow" w:cs="Calibri"/>
          <w:sz w:val="22"/>
          <w:szCs w:val="22"/>
        </w:rPr>
        <w:t>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Právo voľby uplatneného nároku podľa bodu 6.8. písm. a), b) alebo c) musí kupujúci uviesť v písomne uplatnenej reklamácii. V opačnom prípade má právo voľby predávajúci.</w:t>
      </w:r>
    </w:p>
    <w:p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VII.</w:t>
      </w:r>
    </w:p>
    <w:p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Ostatné dojednania</w:t>
      </w:r>
    </w:p>
    <w:p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Predávajúci prehlasuje, že tovar nie je zaťažený právami tretích osôb.</w:t>
      </w:r>
    </w:p>
    <w:p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Predávajúci je povinný: </w:t>
      </w:r>
    </w:p>
    <w:p w:rsidR="00536FEA" w:rsidRPr="007C2683" w:rsidRDefault="00536FEA" w:rsidP="00536FEA">
      <w:pPr>
        <w:pStyle w:val="CTL"/>
        <w:numPr>
          <w:ilvl w:val="3"/>
          <w:numId w:val="13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dodať tovar kupujúcemu v dohodnutom množstve, rozsahu, kvalite, v požadovaných technických parametroch, v bezchybnom stave a dohodnutom termíne v zmysle špecifikácie podľa prílohy č. 1 zmluvy,</w:t>
      </w:r>
    </w:p>
    <w:p w:rsidR="00536FEA" w:rsidRPr="007C2683" w:rsidRDefault="00536FEA" w:rsidP="00536FEA">
      <w:pPr>
        <w:pStyle w:val="CTL"/>
        <w:numPr>
          <w:ilvl w:val="3"/>
          <w:numId w:val="13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 odovzdaním tovaru zabezpečiť vykonanie predpredajného servisu, zabezpečiť inštaláciu a </w:t>
      </w:r>
      <w:r w:rsidRPr="007C2683">
        <w:rPr>
          <w:rFonts w:ascii="Arial Narrow" w:hAnsi="Arial Narrow" w:cs="Calibri"/>
          <w:sz w:val="22"/>
          <w:szCs w:val="22"/>
        </w:rPr>
        <w:t>overenie funkčnosti</w:t>
      </w:r>
      <w:r w:rsidRPr="007C2683">
        <w:rPr>
          <w:rFonts w:ascii="Arial Narrow" w:hAnsi="Arial Narrow"/>
          <w:sz w:val="22"/>
          <w:szCs w:val="22"/>
        </w:rPr>
        <w:t>,</w:t>
      </w:r>
    </w:p>
    <w:p w:rsidR="00536FEA" w:rsidRPr="007C2683" w:rsidRDefault="00536FEA" w:rsidP="00536FEA">
      <w:pPr>
        <w:pStyle w:val="CTL"/>
        <w:numPr>
          <w:ilvl w:val="3"/>
          <w:numId w:val="13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zabezpečiť zaškolenie obsluhy a údržby dodaného tovaru</w:t>
      </w:r>
    </w:p>
    <w:p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so všeobecne záväznými  právnymi predpismi platnými na území SR pre metrológiu u autorizovaného metrologického strediska.</w:t>
      </w:r>
    </w:p>
    <w:p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Kupujúci je povinný:</w:t>
      </w:r>
    </w:p>
    <w:p w:rsidR="00536FEA" w:rsidRPr="007C2683" w:rsidRDefault="00536FEA" w:rsidP="00536FEA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prebrať bezchybný tovar v deň dodania tovaru, ktorý mu predávajúci oznámi</w:t>
      </w:r>
      <w:r w:rsidR="00117035">
        <w:rPr>
          <w:rFonts w:ascii="Arial Narrow" w:hAnsi="Arial Narrow" w:cs="Calibri"/>
          <w:sz w:val="22"/>
          <w:szCs w:val="22"/>
        </w:rPr>
        <w:t xml:space="preserve"> </w:t>
      </w:r>
      <w:bookmarkStart w:id="0" w:name="_GoBack"/>
      <w:bookmarkEnd w:id="0"/>
      <w:r w:rsidRPr="007C2683">
        <w:rPr>
          <w:rFonts w:ascii="Arial Narrow" w:hAnsi="Arial Narrow" w:cs="Calibri"/>
          <w:sz w:val="22"/>
          <w:szCs w:val="22"/>
        </w:rPr>
        <w:t xml:space="preserve"> podľa článku IV.  bod 4.5 tejto zmluvy,</w:t>
      </w:r>
    </w:p>
    <w:p w:rsidR="00536FEA" w:rsidRPr="007C2683" w:rsidRDefault="00536FEA" w:rsidP="00536FEA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:rsidR="00536FEA" w:rsidRPr="00B24A9D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súvislosti s dôvernými informáciami sprístupnenými druhej zmluvnej strane v súvislosti s plnením podľa tejto zmluvy je každá zmluvná strana povinná počas trvania tejto zmluvy a po dobu dvoch (2) rokov po skončení platnosti tejto zmluvy uchovávať a zabezpečovať utajenie a dôvernosť akýchkoľvek informácií označených za dôverné a nebude takéto informácie reprodukovať ani poskytovať tretím osobám bez predchádzajúceho písomného súhlasu druhej zmluvnej strany a ani ich využívať iným spôsobom, ako na naplnenie účelu tejto zmluvy.</w:t>
      </w: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VIII.</w:t>
      </w:r>
    </w:p>
    <w:p w:rsidR="00536FEA" w:rsidRPr="007C2683" w:rsidRDefault="00536FEA" w:rsidP="00536FEA">
      <w:pPr>
        <w:spacing w:after="120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>Zmluvné pokuty a úroky z omeškania</w:t>
      </w:r>
    </w:p>
    <w:p w:rsidR="00536FEA" w:rsidRPr="007C2683" w:rsidRDefault="00536FEA" w:rsidP="00536FEA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:rsidR="00536FEA" w:rsidRPr="007C2683" w:rsidRDefault="00536FEA" w:rsidP="00536FE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za omeškanie predávajúceho s dodaním tovaru podľa čl. IV. bod 4.2 tejto zmluvy  je kupujúci oprávnený uplatniť si voči predávajúcemu zmluvnú pokutu vo výške 0,05 % z ceny tovaru za každý aj začatý deň omeškania, </w:t>
      </w:r>
    </w:p>
    <w:p w:rsidR="00536FEA" w:rsidRPr="007C2683" w:rsidRDefault="00536FEA" w:rsidP="00536FE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omeškanie p</w:t>
      </w:r>
      <w:r w:rsidRPr="007C2683">
        <w:rPr>
          <w:rFonts w:ascii="Arial Narrow" w:hAnsi="Arial Narrow"/>
          <w:sz w:val="22"/>
          <w:szCs w:val="22"/>
        </w:rPr>
        <w:t>r</w:t>
      </w:r>
      <w:r w:rsidRPr="007C2683">
        <w:rPr>
          <w:rFonts w:ascii="Arial Narrow" w:hAnsi="Arial Narrow" w:cs="Calibri"/>
          <w:sz w:val="22"/>
          <w:szCs w:val="22"/>
        </w:rPr>
        <w:t xml:space="preserve">edávajúceho s odstránením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vady</w:t>
      </w:r>
      <w:proofErr w:type="spellEnd"/>
      <w:r w:rsidRPr="007C2683">
        <w:rPr>
          <w:rFonts w:ascii="Arial Narrow" w:hAnsi="Arial Narrow" w:cs="Calibri"/>
          <w:sz w:val="22"/>
          <w:szCs w:val="22"/>
        </w:rPr>
        <w:t xml:space="preserve"> tovaru</w:t>
      </w:r>
      <w:r w:rsidRPr="007C2683">
        <w:rPr>
          <w:rFonts w:ascii="Arial Narrow" w:hAnsi="Arial Narrow"/>
          <w:sz w:val="22"/>
          <w:szCs w:val="22"/>
        </w:rPr>
        <w:t xml:space="preserve"> podľa čl. VI. tejto zmluvy </w:t>
      </w:r>
      <w:r w:rsidRPr="007C2683">
        <w:rPr>
          <w:rFonts w:ascii="Arial Narrow" w:hAnsi="Arial Narrow" w:cs="Calibri"/>
          <w:sz w:val="22"/>
          <w:szCs w:val="22"/>
        </w:rPr>
        <w:t xml:space="preserve">je Kupujúci oprávnený uplatniť si voči predávajúcemu zmluvnú pokutu vo výške 0,05% z ceny </w:t>
      </w:r>
      <w:proofErr w:type="spellStart"/>
      <w:r w:rsidRPr="007C2683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7C2683">
        <w:rPr>
          <w:rFonts w:ascii="Arial Narrow" w:hAnsi="Arial Narrow" w:cs="Calibri"/>
          <w:sz w:val="22"/>
          <w:szCs w:val="22"/>
        </w:rPr>
        <w:t xml:space="preserve"> tovaru za každý aj začatý deň omeškania.</w:t>
      </w:r>
    </w:p>
    <w:p w:rsidR="00536FEA" w:rsidRPr="007C2683" w:rsidRDefault="00536FEA" w:rsidP="00536FE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omeškanie kupujúceho so zaplatením kúpnej ceny je predávajúci oprávnený uplatniť si zákonný úrok z omeškania z nezaplatenej ceny za každý aj začatý deň omeškania,</w:t>
      </w:r>
    </w:p>
    <w:p w:rsidR="00536FEA" w:rsidRPr="007C2683" w:rsidRDefault="00536FEA" w:rsidP="00536FEA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Zaplatením zmluvnej pokuty predávajúcim nezaniká nárok kupujúceho na prípadnú náhradu škody, ktorá vznikla v príčinnej súvislosti s porušením zmluvnej povinnosti, za ktorú je uplatňovaná zmluvná pokuta.</w:t>
      </w:r>
    </w:p>
    <w:p w:rsidR="00536FEA" w:rsidRPr="007C2683" w:rsidRDefault="00536FEA" w:rsidP="00536FEA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lastRenderedPageBreak/>
        <w:t>8.3.</w:t>
      </w:r>
      <w:r w:rsidRPr="007C2683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Predávajúci Kupujúcemu v lehote tridsiatich (30) dní odo dňa doručenia sankčnej faktúry do sídla Predávajúceho. </w:t>
      </w:r>
      <w:r w:rsidRPr="007C2683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7C2683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7C2683">
        <w:rPr>
          <w:rFonts w:ascii="Arial Narrow" w:hAnsi="Arial Narrow"/>
          <w:sz w:val="22"/>
          <w:szCs w:val="22"/>
        </w:rPr>
        <w:t xml:space="preserve">Po uplynutí tejto doby sa Zmluvné strany dohodnú o ďalšom postupe. Ak nedôjde k dohode, má zmluvná strana, ktorá sa odvolala na okolnosti vylučujúce zodpovednosť, právo odstúpiť od zmluvy. </w:t>
      </w:r>
    </w:p>
    <w:p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7C2683">
        <w:rPr>
          <w:rFonts w:ascii="Arial Narrow" w:hAnsi="Arial Narrow" w:cs="Calibri"/>
          <w:b/>
          <w:sz w:val="22"/>
          <w:szCs w:val="22"/>
        </w:rPr>
        <w:t>Článok IX.</w:t>
      </w:r>
    </w:p>
    <w:p w:rsidR="00536FEA" w:rsidRPr="007C2683" w:rsidRDefault="00536FEA" w:rsidP="00536FEA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 w:rsidRPr="007C2683">
        <w:rPr>
          <w:rFonts w:ascii="Arial Narrow" w:hAnsi="Arial Narrow" w:cs="Calibri"/>
          <w:b/>
          <w:sz w:val="22"/>
        </w:rPr>
        <w:t>Skončenie zmluvy</w:t>
      </w:r>
    </w:p>
    <w:p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:rsidR="00536FEA" w:rsidRPr="007C2683" w:rsidRDefault="00536FEA" w:rsidP="00536FEA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písomnou dohodou Zmluvných strán</w:t>
      </w:r>
      <w:r w:rsidRPr="007C2683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:rsidR="00536FEA" w:rsidRPr="007C2683" w:rsidRDefault="00536FEA" w:rsidP="00536FEA">
      <w:pPr>
        <w:numPr>
          <w:ilvl w:val="1"/>
          <w:numId w:val="2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 w:rsidRPr="007C2683">
        <w:rPr>
          <w:rFonts w:ascii="Arial Narrow" w:hAnsi="Arial Narrow" w:cs="Calibri"/>
          <w:sz w:val="22"/>
        </w:rPr>
        <w:t>písomným odstúpením od zmluvy v prípade podstatného porušenia zmluvy.</w:t>
      </w:r>
    </w:p>
    <w:p w:rsidR="00536FEA" w:rsidRPr="007C2683" w:rsidRDefault="00536FEA" w:rsidP="00536FEA">
      <w:pPr>
        <w:tabs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podstatné porušenie zmluvy sa považuje:</w:t>
      </w:r>
    </w:p>
    <w:p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</w:rPr>
      </w:pPr>
      <w:r w:rsidRPr="007C2683">
        <w:rPr>
          <w:rFonts w:ascii="Arial Narrow" w:hAnsi="Arial Narrow" w:cs="Calibri"/>
          <w:sz w:val="22"/>
          <w:szCs w:val="22"/>
        </w:rPr>
        <w:t>Predávajúci dodá Kupujúcemu tovar takých parametrov, ktoré sú v rozpore s touto zmluvou,</w:t>
      </w:r>
    </w:p>
    <w:p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Kupujúci je v omeškaní so zaplatením faktúry o viac ako šesťdesiat (60) dní po lehote jej splatnosti,</w:t>
      </w:r>
    </w:p>
    <w:p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bCs/>
          <w:sz w:val="22"/>
          <w:szCs w:val="22"/>
        </w:rPr>
        <w:t xml:space="preserve">predávajúci poruší </w:t>
      </w:r>
      <w:r w:rsidRPr="007C2683">
        <w:rPr>
          <w:rFonts w:ascii="Arial Narrow" w:hAnsi="Arial Narrow"/>
          <w:sz w:val="22"/>
          <w:szCs w:val="22"/>
        </w:rPr>
        <w:t>jeho povinnosti podľa bodov 4.9. až 4.1</w:t>
      </w:r>
      <w:r>
        <w:rPr>
          <w:rFonts w:ascii="Arial Narrow" w:hAnsi="Arial Narrow"/>
          <w:sz w:val="22"/>
          <w:szCs w:val="22"/>
        </w:rPr>
        <w:t>6</w:t>
      </w:r>
      <w:r w:rsidRPr="007C2683">
        <w:rPr>
          <w:rFonts w:ascii="Arial Narrow" w:hAnsi="Arial Narrow"/>
          <w:sz w:val="22"/>
          <w:szCs w:val="22"/>
        </w:rPr>
        <w:t>. tejto zmluvy.</w:t>
      </w:r>
    </w:p>
    <w:p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Kupujúci je oprávnený odstúpiť od tejto zmluvy aj v prípade, ak:</w:t>
      </w:r>
    </w:p>
    <w:p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vstúpil do likvidácie,</w:t>
      </w:r>
    </w:p>
    <w:p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koná v rozpore s touto zmluvou  a/alebo všeobecne záväznými právnymi predpismi platnými na území SR a na písomnú výzvu kupujúceho toto konanie a jeho následky v určenej primeranej lehote neodstráni,</w:t>
      </w:r>
    </w:p>
    <w:p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nebol  v čase uzatvorenia tejto zmluvy alebo počas doby trvania jej platnosti a účinnosti zapísaný v registri partnerov verejného sektora podľa zákona č. 315/2016 Z. z. </w:t>
      </w:r>
    </w:p>
    <w:p w:rsidR="00536FEA" w:rsidRPr="007C2683" w:rsidRDefault="00536FEA" w:rsidP="00536FEA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7C2683">
        <w:rPr>
          <w:rFonts w:ascii="Arial Narrow" w:hAnsi="Arial Narrow" w:cs="Calibri"/>
          <w:sz w:val="22"/>
          <w:szCs w:val="22"/>
        </w:rPr>
        <w:t xml:space="preserve"> </w:t>
      </w:r>
    </w:p>
    <w:p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X.</w:t>
      </w:r>
    </w:p>
    <w:p w:rsidR="00536FEA" w:rsidRPr="007C2683" w:rsidRDefault="00536FEA" w:rsidP="00536FEA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 xml:space="preserve">Spoločné a záverečné ustanovenia </w:t>
      </w:r>
    </w:p>
    <w:p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</w:t>
      </w:r>
      <w:r w:rsidRPr="007C2683">
        <w:rPr>
          <w:rFonts w:ascii="Arial Narrow" w:hAnsi="Arial Narrow"/>
          <w:b/>
          <w:sz w:val="22"/>
          <w:szCs w:val="22"/>
        </w:rPr>
        <w:t>Oznámenie</w:t>
      </w:r>
      <w:r w:rsidRPr="007C2683">
        <w:rPr>
          <w:rFonts w:ascii="Arial Narrow" w:hAnsi="Arial Narrow"/>
          <w:sz w:val="22"/>
          <w:szCs w:val="22"/>
        </w:rPr>
        <w:t>“) musia byť:</w:t>
      </w:r>
    </w:p>
    <w:p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písomnej podobe,</w:t>
      </w:r>
    </w:p>
    <w:p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lastRenderedPageBreak/>
        <w:t>doručené (i) osobne, (</w:t>
      </w:r>
      <w:proofErr w:type="spellStart"/>
      <w:r w:rsidRPr="007C2683">
        <w:rPr>
          <w:rFonts w:ascii="Arial Narrow" w:hAnsi="Arial Narrow"/>
          <w:sz w:val="22"/>
          <w:szCs w:val="22"/>
        </w:rPr>
        <w:t>ii</w:t>
      </w:r>
      <w:proofErr w:type="spellEnd"/>
      <w:r w:rsidRPr="007C2683">
        <w:rPr>
          <w:rFonts w:ascii="Arial Narrow" w:hAnsi="Arial Narrow"/>
          <w:sz w:val="22"/>
          <w:szCs w:val="22"/>
        </w:rPr>
        <w:t>) poštou prvou triedou s uhradeným poštovným, (</w:t>
      </w:r>
      <w:proofErr w:type="spellStart"/>
      <w:r w:rsidRPr="007C2683">
        <w:rPr>
          <w:rFonts w:ascii="Arial Narrow" w:hAnsi="Arial Narrow"/>
          <w:sz w:val="22"/>
          <w:szCs w:val="22"/>
        </w:rPr>
        <w:t>iii</w:t>
      </w:r>
      <w:proofErr w:type="spellEnd"/>
      <w:r w:rsidRPr="007C2683">
        <w:rPr>
          <w:rFonts w:ascii="Arial Narrow" w:hAnsi="Arial Narrow"/>
          <w:sz w:val="22"/>
          <w:szCs w:val="22"/>
        </w:rPr>
        <w:t>) kuriérom prostredníctvom kuriérskej spoločnosti alebo (</w:t>
      </w:r>
      <w:proofErr w:type="spellStart"/>
      <w:r w:rsidRPr="007C2683">
        <w:rPr>
          <w:rFonts w:ascii="Arial Narrow" w:hAnsi="Arial Narrow"/>
          <w:sz w:val="22"/>
          <w:szCs w:val="22"/>
        </w:rPr>
        <w:t>iv</w:t>
      </w:r>
      <w:proofErr w:type="spellEnd"/>
      <w:r w:rsidRPr="007C2683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:rsidR="00536FEA" w:rsidRPr="007C2683" w:rsidRDefault="00536FEA" w:rsidP="00536FEA">
      <w:pPr>
        <w:pStyle w:val="Odsekzoznamu"/>
        <w:ind w:left="1418"/>
        <w:jc w:val="both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536FEA" w:rsidRPr="007C2683" w:rsidRDefault="00536FEA" w:rsidP="00536FEA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2683">
        <w:rPr>
          <w:rFonts w:ascii="Arial Narrow" w:hAnsi="Arial Narrow"/>
        </w:rPr>
        <w:t>Kupujúci</w:t>
      </w:r>
    </w:p>
    <w:p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</w:rPr>
      </w:pPr>
      <w:r w:rsidRPr="007C2683">
        <w:rPr>
          <w:rFonts w:ascii="Arial Narrow" w:hAnsi="Arial Narrow" w:cs="Arial"/>
          <w:sz w:val="22"/>
          <w:szCs w:val="22"/>
        </w:rPr>
        <w:tab/>
      </w:r>
      <w:proofErr w:type="spellStart"/>
      <w:r w:rsidRPr="007C2683">
        <w:rPr>
          <w:rFonts w:ascii="Arial Narrow" w:hAnsi="Arial Narrow" w:cs="Arial"/>
          <w:sz w:val="22"/>
          <w:szCs w:val="22"/>
        </w:rPr>
        <w:t>xxxxxxxxxxxx</w:t>
      </w:r>
      <w:proofErr w:type="spellEnd"/>
    </w:p>
    <w:p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</w:r>
      <w:proofErr w:type="spellStart"/>
      <w:r w:rsidRPr="007C2683">
        <w:rPr>
          <w:rFonts w:ascii="Arial Narrow" w:hAnsi="Arial Narrow"/>
        </w:rPr>
        <w:t>xxxxxxxxxxxx</w:t>
      </w:r>
      <w:proofErr w:type="spellEnd"/>
    </w:p>
    <w:p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</w:r>
      <w:proofErr w:type="spellStart"/>
      <w:r w:rsidRPr="007C2683">
        <w:rPr>
          <w:rFonts w:ascii="Arial Narrow" w:hAnsi="Arial Narrow"/>
        </w:rPr>
        <w:t>xxxxxxxxxxxxxxxx</w:t>
      </w:r>
      <w:proofErr w:type="spellEnd"/>
    </w:p>
    <w:p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 xml:space="preserve">k rukám: </w:t>
      </w:r>
      <w:proofErr w:type="spellStart"/>
      <w:r w:rsidRPr="007C2683">
        <w:rPr>
          <w:rFonts w:ascii="Arial Narrow" w:hAnsi="Arial Narrow"/>
        </w:rPr>
        <w:t>xxxxxxxxxxxxxxxxxx</w:t>
      </w:r>
      <w:proofErr w:type="spellEnd"/>
      <w:r w:rsidRPr="007C2683">
        <w:rPr>
          <w:rFonts w:ascii="Arial Narrow" w:hAnsi="Arial Narrow"/>
        </w:rPr>
        <w:tab/>
      </w:r>
      <w:r w:rsidRPr="007C2683">
        <w:rPr>
          <w:rFonts w:ascii="Arial Narrow" w:hAnsi="Arial Narrow"/>
        </w:rPr>
        <w:tab/>
      </w:r>
    </w:p>
    <w:p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   </w:t>
      </w:r>
      <w:r w:rsidRPr="007C2683">
        <w:rPr>
          <w:rFonts w:ascii="Arial Narrow" w:hAnsi="Arial Narrow"/>
          <w:sz w:val="22"/>
          <w:szCs w:val="22"/>
        </w:rPr>
        <w:tab/>
        <w:t xml:space="preserve">email: </w:t>
      </w:r>
      <w:proofErr w:type="spellStart"/>
      <w:r w:rsidRPr="007C2683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spacing w:after="120"/>
        <w:ind w:left="567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  <w:lang w:eastAsia="en-GB"/>
        </w:rPr>
        <w:tab/>
        <w:t xml:space="preserve">Predávajúci: </w:t>
      </w:r>
    </w:p>
    <w:p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</w:rPr>
      </w:pPr>
      <w:r w:rsidRPr="007C2683">
        <w:rPr>
          <w:rFonts w:ascii="Arial Narrow" w:hAnsi="Arial Narrow" w:cs="Arial"/>
          <w:sz w:val="22"/>
          <w:szCs w:val="22"/>
        </w:rPr>
        <w:tab/>
      </w:r>
      <w:proofErr w:type="spellStart"/>
      <w:r w:rsidRPr="007C2683">
        <w:rPr>
          <w:rFonts w:ascii="Arial Narrow" w:hAnsi="Arial Narrow" w:cs="Arial"/>
          <w:sz w:val="22"/>
          <w:szCs w:val="22"/>
        </w:rPr>
        <w:t>xxxxxxxxxxxx</w:t>
      </w:r>
      <w:proofErr w:type="spellEnd"/>
    </w:p>
    <w:p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</w:r>
      <w:proofErr w:type="spellStart"/>
      <w:r w:rsidRPr="007C2683">
        <w:rPr>
          <w:rFonts w:ascii="Arial Narrow" w:hAnsi="Arial Narrow"/>
        </w:rPr>
        <w:t>xxxxxxxxxxxx</w:t>
      </w:r>
      <w:proofErr w:type="spellEnd"/>
    </w:p>
    <w:p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</w:r>
      <w:proofErr w:type="spellStart"/>
      <w:r w:rsidRPr="007C2683">
        <w:rPr>
          <w:rFonts w:ascii="Arial Narrow" w:hAnsi="Arial Narrow"/>
        </w:rPr>
        <w:t>xxxxxxxxxxxxxxxx</w:t>
      </w:r>
      <w:proofErr w:type="spellEnd"/>
    </w:p>
    <w:p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 xml:space="preserve">k rukám: </w:t>
      </w:r>
      <w:proofErr w:type="spellStart"/>
      <w:r w:rsidRPr="007C2683">
        <w:rPr>
          <w:rFonts w:ascii="Arial Narrow" w:hAnsi="Arial Narrow"/>
        </w:rPr>
        <w:t>xxxxxxxxxxxxxxxxxx</w:t>
      </w:r>
      <w:proofErr w:type="spellEnd"/>
      <w:r w:rsidRPr="007C2683">
        <w:rPr>
          <w:rFonts w:ascii="Arial Narrow" w:hAnsi="Arial Narrow"/>
        </w:rPr>
        <w:tab/>
      </w:r>
      <w:r w:rsidRPr="007C2683">
        <w:rPr>
          <w:rFonts w:ascii="Arial Narrow" w:hAnsi="Arial Narrow"/>
        </w:rPr>
        <w:tab/>
      </w:r>
    </w:p>
    <w:p w:rsidR="00536FEA" w:rsidRPr="007C2683" w:rsidRDefault="00536FEA" w:rsidP="00536FEA">
      <w:pPr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 xml:space="preserve">   </w:t>
      </w:r>
      <w:r w:rsidRPr="007C2683">
        <w:rPr>
          <w:rFonts w:ascii="Arial Narrow" w:hAnsi="Arial Narrow"/>
          <w:sz w:val="22"/>
        </w:rPr>
        <w:tab/>
        <w:t xml:space="preserve">email: </w:t>
      </w:r>
      <w:proofErr w:type="spellStart"/>
      <w:r w:rsidRPr="007C2683">
        <w:rPr>
          <w:rFonts w:ascii="Arial Narrow" w:hAnsi="Arial Narrow"/>
          <w:sz w:val="22"/>
        </w:rPr>
        <w:t>xxxxxxxxxxxxxxxxxxxxx</w:t>
      </w:r>
      <w:proofErr w:type="spellEnd"/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:rsidR="00536FEA" w:rsidRPr="007C2683" w:rsidRDefault="00536FEA" w:rsidP="00536FEA">
      <w:pPr>
        <w:pStyle w:val="Odsekzoznamu"/>
        <w:ind w:left="1080"/>
        <w:jc w:val="both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prípade</w:t>
      </w:r>
      <w:r w:rsidRPr="007C2683">
        <w:rPr>
          <w:rFonts w:ascii="Arial Narrow" w:hAnsi="Arial Narrow"/>
          <w:b/>
          <w:sz w:val="22"/>
          <w:szCs w:val="22"/>
        </w:rPr>
        <w:t xml:space="preserve"> </w:t>
      </w:r>
      <w:r w:rsidRPr="007C2683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536FEA" w:rsidRPr="007C2683" w:rsidRDefault="00536FEA" w:rsidP="00536FEA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lastRenderedPageBreak/>
        <w:t>Táto zmluva nadobúda platnosť dňom jej podpisu obidvoma zmluvnými stranami a účinnosť dňom nasledujúcim po dni jej zverejnenia v Centrálnom registri zmlúv, ktorý vedie Úrad vlády SR v súlade so zákonom č. 40/1964 Zb. Občiansky zákonník v znení neskorších predpisov, a ktorými sa menia a dopĺňajú niektoré zákony. Zverejnenie zmluvy v Centrálnom registri zmlúv zabezpečí kupujúci.</w:t>
      </w:r>
    </w:p>
    <w:p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536FEA" w:rsidRPr="007C2683" w:rsidRDefault="00536FEA" w:rsidP="00536FEA">
      <w:pPr>
        <w:pStyle w:val="Odsekzoznamu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1:</w:t>
      </w:r>
      <w:r w:rsidRPr="007C2683">
        <w:rPr>
          <w:rFonts w:ascii="Arial Narrow" w:hAnsi="Arial Narrow"/>
          <w:sz w:val="22"/>
          <w:szCs w:val="22"/>
        </w:rPr>
        <w:tab/>
        <w:t xml:space="preserve">Opis predmetu zákazky, vlastný návrh plnenia predávajúceho, ktorý predložil do verejného obstarávania </w:t>
      </w:r>
    </w:p>
    <w:p w:rsidR="00536FEA" w:rsidRPr="007C2683" w:rsidRDefault="00536FEA" w:rsidP="00536FEA">
      <w:pPr>
        <w:pStyle w:val="Odsekzoznamu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2:</w:t>
      </w:r>
      <w:r w:rsidRPr="007C2683">
        <w:rPr>
          <w:rFonts w:ascii="Arial Narrow" w:hAnsi="Arial Narrow"/>
          <w:sz w:val="22"/>
          <w:szCs w:val="22"/>
        </w:rPr>
        <w:tab/>
        <w:t>Štruktúrovaný rozpočet ceny</w:t>
      </w:r>
    </w:p>
    <w:p w:rsidR="00536FEA" w:rsidRPr="007C2683" w:rsidRDefault="00536FEA" w:rsidP="00536FEA">
      <w:pPr>
        <w:pStyle w:val="Odsekzoznamu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3:</w:t>
      </w:r>
      <w:r w:rsidRPr="007C2683">
        <w:rPr>
          <w:rFonts w:ascii="Arial Narrow" w:hAnsi="Arial Narrow"/>
          <w:sz w:val="22"/>
          <w:szCs w:val="22"/>
        </w:rPr>
        <w:tab/>
        <w:t>Zoznam subdodávateľov</w:t>
      </w:r>
    </w:p>
    <w:p w:rsidR="00536FEA" w:rsidRPr="007C2683" w:rsidRDefault="00536FEA" w:rsidP="00536FEA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4:</w:t>
      </w:r>
      <w:r w:rsidRPr="007C2683">
        <w:rPr>
          <w:rFonts w:ascii="Arial Narrow" w:hAnsi="Arial Narrow"/>
          <w:sz w:val="22"/>
          <w:szCs w:val="22"/>
        </w:rPr>
        <w:tab/>
        <w:t xml:space="preserve">Dokument preukazujúci spôsobilosť kupujúceho v zmysle § 42 až § 46 zákona č.157/2018 Z. z. o metrológii a o zmene a doplnení niektorých zákonov </w:t>
      </w:r>
      <w:r w:rsidRPr="007C2683">
        <w:rPr>
          <w:rFonts w:ascii="Arial Narrow" w:hAnsi="Arial Narrow" w:cs="Arial"/>
          <w:sz w:val="22"/>
          <w:szCs w:val="22"/>
        </w:rPr>
        <w:t>na montáž  a záručné opravy určeného meradla</w:t>
      </w:r>
      <w:r w:rsidRPr="007C2683">
        <w:rPr>
          <w:rFonts w:ascii="Arial Narrow" w:hAnsi="Arial Narrow"/>
          <w:sz w:val="22"/>
          <w:szCs w:val="22"/>
        </w:rPr>
        <w:t xml:space="preserve"> (úradne overená kópia)</w:t>
      </w:r>
    </w:p>
    <w:p w:rsidR="00536FEA" w:rsidRPr="007C2683" w:rsidRDefault="00536FEA" w:rsidP="00536FE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ab/>
      </w:r>
    </w:p>
    <w:p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V Bratislave dňa .....................</w:t>
      </w:r>
      <w:r w:rsidRPr="007C2683">
        <w:rPr>
          <w:rFonts w:ascii="Arial Narrow" w:hAnsi="Arial Narrow"/>
          <w:sz w:val="22"/>
        </w:rPr>
        <w:tab/>
        <w:t>V ......................... dňa: .....................</w:t>
      </w:r>
    </w:p>
    <w:p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ab/>
        <w:t>Za Kupujúceho:</w:t>
      </w:r>
      <w:r w:rsidRPr="007C2683">
        <w:rPr>
          <w:rFonts w:ascii="Arial Narrow" w:hAnsi="Arial Narrow"/>
          <w:sz w:val="22"/>
        </w:rPr>
        <w:tab/>
        <w:t>Za Predávajúceho:</w:t>
      </w:r>
    </w:p>
    <w:p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1906BA" w:rsidRDefault="00536FEA" w:rsidP="00536FEA">
      <w:pPr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ab/>
        <w:t>.......................................................</w:t>
      </w:r>
      <w:r w:rsidRPr="007C268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                  </w:t>
      </w:r>
      <w:r w:rsidRPr="007C2683">
        <w:rPr>
          <w:rFonts w:ascii="Arial Narrow" w:hAnsi="Arial Narrow"/>
          <w:sz w:val="22"/>
        </w:rPr>
        <w:t>.......................................................</w:t>
      </w:r>
    </w:p>
    <w:p w:rsidR="001906BA" w:rsidRDefault="001906B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lastRenderedPageBreak/>
        <w:t>Zoznam subdodávateľov</w:t>
      </w: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1906BA" w:rsidRPr="007C2683" w:rsidTr="008C392B">
        <w:trPr>
          <w:trHeight w:val="756"/>
        </w:trPr>
        <w:tc>
          <w:tcPr>
            <w:tcW w:w="534" w:type="dxa"/>
            <w:shd w:val="clear" w:color="auto" w:fill="auto"/>
          </w:tcPr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7C2683">
              <w:rPr>
                <w:rFonts w:ascii="Arial Narrow" w:hAnsi="Arial Narrow"/>
                <w:sz w:val="22"/>
              </w:rPr>
              <w:t>P.č</w:t>
            </w:r>
            <w:proofErr w:type="spellEnd"/>
            <w:r w:rsidRPr="007C2683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Údaje o subdodávateľoch -</w:t>
            </w:r>
            <w:r w:rsidRPr="007C2683">
              <w:rPr>
                <w:rFonts w:ascii="Arial Narrow" w:hAnsi="Arial Narrow"/>
                <w:sz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 xml:space="preserve">Osoba  oprávnená konať </w:t>
            </w:r>
            <w:r w:rsidRPr="007C2683">
              <w:rPr>
                <w:rFonts w:ascii="Arial Narrow" w:hAnsi="Arial Narrow"/>
                <w:sz w:val="22"/>
              </w:rPr>
              <w:br/>
              <w:t>za subdodávateľa</w:t>
            </w:r>
          </w:p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1906BA" w:rsidRPr="007C2683" w:rsidRDefault="001906BA" w:rsidP="008C392B">
            <w:pPr>
              <w:ind w:right="-415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Adresa  pobytu</w:t>
            </w:r>
            <w:r w:rsidRPr="007C2683">
              <w:rPr>
                <w:rFonts w:ascii="Arial Narrow" w:hAnsi="Arial Narrow"/>
                <w:sz w:val="22"/>
              </w:rPr>
              <w:tab/>
            </w:r>
            <w:r w:rsidRPr="007C2683">
              <w:rPr>
                <w:rFonts w:ascii="Arial Narrow" w:hAnsi="Arial Narrow"/>
                <w:sz w:val="22"/>
              </w:rPr>
              <w:br/>
            </w:r>
          </w:p>
          <w:p w:rsidR="001906BA" w:rsidRPr="007C2683" w:rsidRDefault="001906BA" w:rsidP="008C392B">
            <w:pPr>
              <w:ind w:right="-415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906BA" w:rsidRPr="007C2683" w:rsidTr="008C392B">
        <w:trPr>
          <w:trHeight w:val="756"/>
        </w:trPr>
        <w:tc>
          <w:tcPr>
            <w:tcW w:w="534" w:type="dxa"/>
            <w:shd w:val="clear" w:color="auto" w:fill="auto"/>
          </w:tcPr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906BA" w:rsidRPr="007C2683" w:rsidRDefault="001906BA" w:rsidP="008C392B">
            <w:pPr>
              <w:ind w:right="-415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</w:rPr>
      </w:pPr>
      <w:r w:rsidRPr="007C2683">
        <w:rPr>
          <w:rFonts w:ascii="Arial Narrow" w:hAnsi="Arial Narrow"/>
          <w:i/>
          <w:sz w:val="22"/>
        </w:rPr>
        <w:t>(doplní uchádzač, v prípade že nebude využívať subdodávateľov  uvedie vyhlásenie)</w:t>
      </w: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:rsidR="001906BA" w:rsidRPr="007C2683" w:rsidRDefault="001906B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>Za Predávajúceho:</w:t>
      </w:r>
    </w:p>
    <w:p w:rsidR="001906BA" w:rsidRPr="007C2683" w:rsidRDefault="001906B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</w:p>
    <w:p w:rsidR="001906BA" w:rsidRPr="007C2683" w:rsidRDefault="001906B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</w:p>
    <w:p w:rsidR="001906BA" w:rsidRPr="007C2683" w:rsidRDefault="001906B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</w:p>
    <w:p w:rsidR="001906BA" w:rsidRPr="007C2683" w:rsidRDefault="001906BA" w:rsidP="001906BA">
      <w:pPr>
        <w:tabs>
          <w:tab w:val="left" w:pos="5670"/>
        </w:tabs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ab/>
      </w:r>
      <w:r w:rsidRPr="007C2683">
        <w:rPr>
          <w:rFonts w:ascii="Arial Narrow" w:hAnsi="Arial Narrow" w:cs="Arial Narrow"/>
          <w:sz w:val="22"/>
        </w:rPr>
        <w:tab/>
      </w:r>
    </w:p>
    <w:p w:rsidR="001906BA" w:rsidRPr="007C2683" w:rsidRDefault="001906BA" w:rsidP="001906BA">
      <w:pPr>
        <w:tabs>
          <w:tab w:val="left" w:pos="5670"/>
        </w:tabs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ab/>
      </w:r>
      <w:r w:rsidRPr="007C2683">
        <w:rPr>
          <w:rFonts w:ascii="Arial Narrow" w:hAnsi="Arial Narrow" w:cs="Arial Narrow"/>
          <w:sz w:val="22"/>
        </w:rPr>
        <w:tab/>
      </w:r>
      <w:r w:rsidRPr="007C2683">
        <w:rPr>
          <w:rFonts w:ascii="Arial Narrow" w:hAnsi="Arial Narrow" w:cs="Arial Narrow"/>
          <w:sz w:val="22"/>
        </w:rPr>
        <w:tab/>
        <w:t xml:space="preserve">       .............................................................</w:t>
      </w:r>
    </w:p>
    <w:p w:rsidR="001906BA" w:rsidRPr="007C2683" w:rsidRDefault="001906BA" w:rsidP="001906BA">
      <w:pPr>
        <w:tabs>
          <w:tab w:val="left" w:pos="5670"/>
        </w:tabs>
        <w:rPr>
          <w:rFonts w:ascii="Arial Narrow" w:hAnsi="Arial Narrow"/>
          <w:b/>
          <w:i/>
          <w:iCs/>
          <w:sz w:val="22"/>
        </w:rPr>
      </w:pPr>
      <w:r w:rsidRPr="007C2683">
        <w:rPr>
          <w:rFonts w:ascii="Arial Narrow" w:hAnsi="Arial Narrow"/>
          <w:b/>
          <w:i/>
          <w:iCs/>
          <w:sz w:val="22"/>
        </w:rPr>
        <w:tab/>
      </w:r>
      <w:r w:rsidRPr="007C2683">
        <w:rPr>
          <w:rFonts w:ascii="Arial Narrow" w:hAnsi="Arial Narrow"/>
          <w:b/>
          <w:i/>
          <w:iCs/>
          <w:sz w:val="22"/>
        </w:rPr>
        <w:tab/>
      </w:r>
      <w:r w:rsidRPr="007C2683">
        <w:rPr>
          <w:rFonts w:ascii="Arial Narrow" w:hAnsi="Arial Narrow"/>
          <w:b/>
          <w:i/>
          <w:iCs/>
          <w:sz w:val="22"/>
        </w:rPr>
        <w:tab/>
      </w:r>
      <w:r w:rsidRPr="007C2683">
        <w:rPr>
          <w:rFonts w:ascii="Arial Narrow" w:hAnsi="Arial Narrow"/>
          <w:b/>
          <w:i/>
          <w:sz w:val="22"/>
        </w:rPr>
        <w:tab/>
      </w:r>
      <w:r w:rsidRPr="007C2683">
        <w:rPr>
          <w:rFonts w:ascii="Arial Narrow" w:hAnsi="Arial Narrow"/>
          <w:b/>
          <w:i/>
          <w:sz w:val="22"/>
        </w:rPr>
        <w:tab/>
      </w:r>
      <w:r w:rsidRPr="007C2683">
        <w:rPr>
          <w:rFonts w:ascii="Arial Narrow" w:hAnsi="Arial Narrow"/>
          <w:b/>
          <w:i/>
          <w:sz w:val="22"/>
        </w:rPr>
        <w:tab/>
      </w:r>
      <w:r w:rsidRPr="007C2683">
        <w:rPr>
          <w:rFonts w:ascii="Arial Narrow" w:hAnsi="Arial Narrow"/>
          <w:b/>
          <w:i/>
          <w:sz w:val="22"/>
        </w:rPr>
        <w:tab/>
      </w:r>
    </w:p>
    <w:p w:rsidR="001906BA" w:rsidRDefault="001906BA" w:rsidP="001906BA">
      <w:pPr>
        <w:jc w:val="center"/>
        <w:rPr>
          <w:rFonts w:ascii="Arial Narrow" w:hAnsi="Arial Narrow"/>
          <w:iCs/>
          <w:sz w:val="22"/>
        </w:rPr>
      </w:pPr>
      <w:r w:rsidRPr="007C2683">
        <w:rPr>
          <w:rFonts w:ascii="Arial Narrow" w:hAnsi="Arial Narrow"/>
          <w:iCs/>
          <w:sz w:val="22"/>
        </w:rPr>
        <w:tab/>
        <w:t xml:space="preserve">            konateľ spoločnosti  </w:t>
      </w:r>
    </w:p>
    <w:p w:rsidR="00212CC0" w:rsidRDefault="00212CC0" w:rsidP="00536FEA"/>
    <w:sectPr w:rsidR="00212C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D1" w:rsidRDefault="001764D1" w:rsidP="0010408C">
      <w:pPr>
        <w:spacing w:after="0" w:line="240" w:lineRule="auto"/>
      </w:pPr>
      <w:r>
        <w:separator/>
      </w:r>
    </w:p>
  </w:endnote>
  <w:endnote w:type="continuationSeparator" w:id="0">
    <w:p w:rsidR="001764D1" w:rsidRDefault="001764D1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D1" w:rsidRDefault="001764D1" w:rsidP="0010408C">
      <w:pPr>
        <w:spacing w:after="0" w:line="240" w:lineRule="auto"/>
      </w:pPr>
      <w:r>
        <w:separator/>
      </w:r>
    </w:p>
  </w:footnote>
  <w:footnote w:type="continuationSeparator" w:id="0">
    <w:p w:rsidR="001764D1" w:rsidRDefault="001764D1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8C" w:rsidRPr="008E7B3D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10408C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10408C" w:rsidRPr="00A23C45" w:rsidRDefault="0010408C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10408C" w:rsidRDefault="001040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EA"/>
    <w:rsid w:val="0010408C"/>
    <w:rsid w:val="00117035"/>
    <w:rsid w:val="001764D1"/>
    <w:rsid w:val="001906BA"/>
    <w:rsid w:val="00212CC0"/>
    <w:rsid w:val="0053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6FEA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6FEA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2019-04-09T07:45:00Z</dcterms:created>
  <dcterms:modified xsi:type="dcterms:W3CDTF">2019-04-09T07:45:00Z</dcterms:modified>
</cp:coreProperties>
</file>