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5B6" w14:textId="77777777" w:rsidR="00C15837" w:rsidRDefault="00C15837" w:rsidP="00C15837">
      <w:pPr>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14:paraId="627F54F7"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1CA667F2" w14:textId="705EDEB2" w:rsidR="007B66A5" w:rsidRDefault="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0FBF9F35" w14:textId="25BC0DFF" w:rsidR="006308B1" w:rsidRPr="00440809" w:rsidRDefault="006308B1" w:rsidP="006308B1">
      <w:pPr>
        <w:jc w:val="both"/>
        <w:rPr>
          <w:rFonts w:ascii="Arial Narrow" w:eastAsia="Arial" w:hAnsi="Arial Narrow"/>
          <w:sz w:val="22"/>
        </w:rPr>
      </w:pPr>
      <w:r w:rsidRPr="00440809">
        <w:rPr>
          <w:rFonts w:ascii="Arial Narrow" w:eastAsia="Arial" w:hAnsi="Arial Narrow"/>
          <w:sz w:val="22"/>
        </w:rPr>
        <w:t xml:space="preserve">Uchádzač musí </w:t>
      </w:r>
      <w:r w:rsidR="00667827">
        <w:rPr>
          <w:rFonts w:ascii="Arial Narrow" w:eastAsia="Arial" w:hAnsi="Arial Narrow"/>
          <w:sz w:val="22"/>
        </w:rPr>
        <w:t xml:space="preserve">preukázať </w:t>
      </w:r>
      <w:r w:rsidRPr="00440809">
        <w:rPr>
          <w:rFonts w:ascii="Arial Narrow" w:eastAsia="Arial" w:hAnsi="Arial Narrow"/>
          <w:sz w:val="22"/>
        </w:rPr>
        <w:t>sp</w:t>
      </w:r>
      <w:r w:rsidR="00667827">
        <w:rPr>
          <w:rFonts w:ascii="Arial Narrow" w:eastAsia="Arial" w:hAnsi="Arial Narrow"/>
          <w:sz w:val="22"/>
        </w:rPr>
        <w:t>lnenie</w:t>
      </w:r>
      <w:r w:rsidRPr="00440809">
        <w:rPr>
          <w:rFonts w:ascii="Arial Narrow" w:eastAsia="Arial" w:hAnsi="Arial Narrow"/>
          <w:sz w:val="22"/>
        </w:rPr>
        <w:t xml:space="preserve"> nasledovn</w:t>
      </w:r>
      <w:r w:rsidR="00667827">
        <w:rPr>
          <w:rFonts w:ascii="Arial Narrow" w:eastAsia="Arial" w:hAnsi="Arial Narrow"/>
          <w:sz w:val="22"/>
        </w:rPr>
        <w:t>ých</w:t>
      </w:r>
      <w:r w:rsidRPr="00440809">
        <w:rPr>
          <w:rFonts w:ascii="Arial Narrow" w:eastAsia="Arial" w:hAnsi="Arial Narrow"/>
          <w:sz w:val="22"/>
        </w:rPr>
        <w:t xml:space="preserve"> podmien</w:t>
      </w:r>
      <w:r w:rsidR="00667827">
        <w:rPr>
          <w:rFonts w:ascii="Arial Narrow" w:eastAsia="Arial" w:hAnsi="Arial Narrow"/>
          <w:sz w:val="22"/>
        </w:rPr>
        <w:t>o</w:t>
      </w:r>
      <w:r w:rsidRPr="00440809">
        <w:rPr>
          <w:rFonts w:ascii="Arial Narrow" w:eastAsia="Arial" w:hAnsi="Arial Narrow"/>
          <w:sz w:val="22"/>
        </w:rPr>
        <w:t>k účasti týkajúce sa osobného postavenia:</w:t>
      </w:r>
    </w:p>
    <w:p w14:paraId="454B8028"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C805871" w14:textId="3125B18C" w:rsidR="006308B1" w:rsidRPr="00440809" w:rsidRDefault="006308B1" w:rsidP="006308B1">
      <w:pPr>
        <w:pStyle w:val="Odsekzoznamu"/>
        <w:ind w:left="681"/>
        <w:jc w:val="both"/>
        <w:rPr>
          <w:rFonts w:ascii="Arial Narrow" w:eastAsia="Arial" w:hAnsi="Arial Narrow"/>
          <w:sz w:val="22"/>
        </w:rPr>
      </w:pPr>
    </w:p>
    <w:p w14:paraId="62CDE60D"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 xml:space="preserve">podľa § 32 ods. 1 písm. b) zákona, že uchádzač nemá </w:t>
      </w:r>
      <w:r w:rsidRPr="006127A4">
        <w:rPr>
          <w:rFonts w:ascii="Arial Narrow" w:eastAsia="Arial" w:hAnsi="Arial Narrow"/>
          <w:sz w:val="22"/>
        </w:rPr>
        <w:t>evidované nedoplatky na poistnom na sociálne poistenie a zdravotná poisťovňa neeviduje voči nemu pohľadávky po splatnosti podľa osobitných predpisov</w:t>
      </w:r>
      <w:r w:rsidRPr="00440809">
        <w:rPr>
          <w:rFonts w:ascii="Arial Narrow" w:eastAsia="Arial" w:hAnsi="Arial Narrow"/>
          <w:sz w:val="22"/>
        </w:rPr>
        <w:t xml:space="preserve">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FFF7C6F" w14:textId="77777777" w:rsidR="006308B1" w:rsidRPr="00440809" w:rsidRDefault="006308B1" w:rsidP="006308B1">
      <w:pPr>
        <w:pStyle w:val="Odsekzoznamu"/>
        <w:ind w:left="681"/>
        <w:jc w:val="both"/>
        <w:rPr>
          <w:rFonts w:ascii="Arial Narrow" w:eastAsia="Arial" w:hAnsi="Arial Narrow"/>
          <w:sz w:val="22"/>
        </w:rPr>
      </w:pPr>
    </w:p>
    <w:p w14:paraId="00F1EE85" w14:textId="5CC9CBFD"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 xml:space="preserve">podľa § 32 ods. 1 písm. c) zákona, že </w:t>
      </w:r>
      <w:r>
        <w:rPr>
          <w:rFonts w:ascii="Arial Narrow" w:eastAsia="Arial" w:hAnsi="Arial Narrow"/>
          <w:sz w:val="22"/>
        </w:rPr>
        <w:t xml:space="preserve">nemá </w:t>
      </w:r>
      <w:r w:rsidRPr="006127A4">
        <w:rPr>
          <w:rFonts w:ascii="Arial Narrow" w:eastAsia="Arial" w:hAnsi="Arial Narrow"/>
          <w:sz w:val="22"/>
        </w:rPr>
        <w:t>evidované daňové nedoplatky voči daňovému úradu a colnému úradu podľa osobitných predpisov</w:t>
      </w:r>
      <w:r>
        <w:rPr>
          <w:rFonts w:ascii="Arial Narrow" w:eastAsia="Arial" w:hAnsi="Arial Narrow"/>
          <w:sz w:val="22"/>
        </w:rPr>
        <w:t xml:space="preserve"> </w:t>
      </w:r>
      <w:r w:rsidRPr="00440809">
        <w:rPr>
          <w:rFonts w:ascii="Arial Narrow" w:eastAsia="Arial" w:hAnsi="Arial Narrow"/>
          <w:sz w:val="22"/>
        </w:rPr>
        <w:t xml:space="preserve">v Slovenskej republike alebo v štáte sídla, miesta podnikania alebo obvyklého pobytu. Uvedenú podmienku účasti preukáže uchádzač v súlade s § 32 ods. 2 písm. c) zákona doloženým potvrdením miestne príslušného daňového úradu </w:t>
      </w:r>
      <w:r w:rsidRPr="00FA50E7">
        <w:rPr>
          <w:rFonts w:ascii="Arial Narrow" w:eastAsia="Arial" w:hAnsi="Arial Narrow"/>
          <w:sz w:val="22"/>
        </w:rPr>
        <w:t>a miestne príslušného colného úradu</w:t>
      </w:r>
      <w:r>
        <w:rPr>
          <w:rFonts w:ascii="Segoe UI" w:hAnsi="Segoe UI" w:cs="Segoe UI"/>
          <w:color w:val="494949"/>
          <w:sz w:val="21"/>
          <w:szCs w:val="21"/>
          <w:shd w:val="clear" w:color="auto" w:fill="FFFFFF"/>
        </w:rPr>
        <w:t xml:space="preserve"> </w:t>
      </w:r>
      <w:r w:rsidRPr="00440809">
        <w:rPr>
          <w:rFonts w:ascii="Arial Narrow" w:eastAsia="Arial" w:hAnsi="Arial Narrow"/>
          <w:sz w:val="22"/>
        </w:rPr>
        <w:t>nie starším ako tri mesiace (v prípade potvrdenia obsahujúceho nedoplatok predloží aj doklad o zaplatení nedoplatku alebo o povolení platiť nedoplatky v splátkach).</w:t>
      </w:r>
    </w:p>
    <w:p w14:paraId="5C581C10" w14:textId="77777777" w:rsidR="006308B1" w:rsidRPr="00440809" w:rsidRDefault="006308B1" w:rsidP="006308B1">
      <w:pPr>
        <w:pStyle w:val="Odsekzoznamu"/>
        <w:ind w:left="681"/>
        <w:jc w:val="both"/>
        <w:rPr>
          <w:rFonts w:ascii="Arial Narrow" w:eastAsia="Arial" w:hAnsi="Arial Narrow"/>
          <w:sz w:val="22"/>
        </w:rPr>
      </w:pPr>
    </w:p>
    <w:p w14:paraId="25B2B97F"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482F256" w14:textId="77777777" w:rsidR="006308B1" w:rsidRPr="00440809" w:rsidRDefault="006308B1" w:rsidP="006308B1">
      <w:pPr>
        <w:pStyle w:val="Odsekzoznamu"/>
        <w:ind w:left="681"/>
        <w:jc w:val="both"/>
        <w:rPr>
          <w:rFonts w:ascii="Arial Narrow" w:eastAsia="Arial" w:hAnsi="Arial Narrow"/>
          <w:sz w:val="22"/>
        </w:rPr>
      </w:pPr>
    </w:p>
    <w:p w14:paraId="3E97A5BC"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e) zákona, že je oprávnený dodávať tovar, uskutočňovať stavebné práce alebo poskytovať službu. Uvedenú podmienku účasti preukáže uchádzač v súlade s § 32 ods. 2 písm. e) doloženým dokladom o oprávnení dodávať tovar, uskutočňovať stavebné práce alebo poskytovať službu, ktorý zodpovedá predmetu zákazky.</w:t>
      </w:r>
    </w:p>
    <w:p w14:paraId="5ABDE4A1" w14:textId="77777777" w:rsidR="006308B1" w:rsidRPr="00440809" w:rsidRDefault="006308B1" w:rsidP="006308B1">
      <w:pPr>
        <w:pStyle w:val="Odsekzoznamu"/>
        <w:rPr>
          <w:rFonts w:ascii="Arial Narrow" w:eastAsia="Arial" w:hAnsi="Arial Narrow"/>
          <w:sz w:val="22"/>
        </w:rPr>
      </w:pPr>
    </w:p>
    <w:p w14:paraId="41F8CB55"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09D435D" w14:textId="77777777" w:rsidR="006308B1" w:rsidRPr="00440809" w:rsidRDefault="006308B1" w:rsidP="006308B1">
      <w:pPr>
        <w:pStyle w:val="Odsekzoznamu"/>
        <w:ind w:left="681"/>
        <w:jc w:val="both"/>
        <w:rPr>
          <w:rFonts w:ascii="Arial Narrow" w:eastAsia="Arial" w:hAnsi="Arial Narrow"/>
          <w:sz w:val="22"/>
        </w:rPr>
      </w:pPr>
    </w:p>
    <w:p w14:paraId="2C2E0534"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C8A5B21" w14:textId="77777777" w:rsidR="006308B1" w:rsidRPr="00440809" w:rsidRDefault="006308B1" w:rsidP="006308B1">
      <w:pPr>
        <w:ind w:left="600" w:hanging="279"/>
        <w:jc w:val="both"/>
        <w:rPr>
          <w:rFonts w:ascii="Arial Narrow" w:eastAsia="Arial" w:hAnsi="Arial Narrow"/>
          <w:sz w:val="22"/>
        </w:rPr>
      </w:pPr>
      <w:r w:rsidRPr="00440809">
        <w:rPr>
          <w:rFonts w:ascii="Arial Narrow" w:eastAsia="Arial" w:hAnsi="Arial Narrow"/>
          <w:sz w:val="22"/>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62D6F204"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Doklady, ktoré sa nepredkladajú:</w:t>
      </w:r>
    </w:p>
    <w:p w14:paraId="6B0F70C5"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A66364B"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14:paraId="4E3DB77B"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zdravotnej poisťovne a Sociálnej poisťovne podľa § 32 ods. 1 písm. b) a  ods. 2 písm. b) zákona,</w:t>
      </w:r>
    </w:p>
    <w:p w14:paraId="30B4DA8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miestne príslušného daňového úradu a miestne príslušného colného úradu podľa § 32 ods. 1 písm. c) a ods. 2 písm. c) zákona,</w:t>
      </w:r>
    </w:p>
    <w:p w14:paraId="253035A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586FB85"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p>
    <w:p w14:paraId="666BEB7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Upozornenie:</w:t>
      </w:r>
    </w:p>
    <w:p w14:paraId="36EE6EAE" w14:textId="55351F61" w:rsidR="007B66A5" w:rsidRPr="007B66A5"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88C93C4" w14:textId="77777777" w:rsidR="00382F8A" w:rsidRDefault="00382F8A" w:rsidP="007B66A5">
      <w:pPr>
        <w:autoSpaceDE w:val="0"/>
        <w:autoSpaceDN w:val="0"/>
        <w:adjustRightInd w:val="0"/>
        <w:spacing w:after="0" w:line="240" w:lineRule="auto"/>
        <w:jc w:val="both"/>
        <w:rPr>
          <w:rFonts w:ascii="Arial Narrow" w:hAnsi="Arial Narrow" w:cs="Tahoma"/>
          <w:sz w:val="22"/>
        </w:rPr>
      </w:pPr>
    </w:p>
    <w:p w14:paraId="7418D2CA" w14:textId="0467850C" w:rsidR="007B66A5" w:rsidRPr="007B66A5" w:rsidRDefault="004F531E" w:rsidP="007B66A5">
      <w:pPr>
        <w:autoSpaceDE w:val="0"/>
        <w:autoSpaceDN w:val="0"/>
        <w:adjustRightInd w:val="0"/>
        <w:spacing w:after="0" w:line="240" w:lineRule="auto"/>
        <w:jc w:val="both"/>
        <w:rPr>
          <w:rFonts w:ascii="Arial Narrow" w:hAnsi="Arial Narrow" w:cs="Tahoma"/>
          <w:sz w:val="22"/>
        </w:rPr>
      </w:pPr>
      <w:r>
        <w:rPr>
          <w:rFonts w:ascii="Arial Narrow" w:hAnsi="Arial Narrow" w:cs="Tahoma"/>
          <w:sz w:val="22"/>
        </w:rPr>
        <w:t>U</w:t>
      </w:r>
      <w:r w:rsidR="00382F8A">
        <w:rPr>
          <w:rFonts w:ascii="Arial Narrow" w:hAnsi="Arial Narrow" w:cs="Tahoma"/>
          <w:sz w:val="22"/>
        </w:rPr>
        <w:t xml:space="preserve">chádzač </w:t>
      </w:r>
      <w:r w:rsidR="007B66A5" w:rsidRPr="007B66A5">
        <w:rPr>
          <w:rFonts w:ascii="Arial Narrow" w:hAnsi="Arial Narrow" w:cs="Tahoma"/>
          <w:sz w:val="22"/>
        </w:rPr>
        <w:t xml:space="preserve">môže predbežne nahradiť doklady na preukázanie splnenia podmienok účasti jednotným európskym dokumentom podľa § 39 ods. 1 zákona. </w:t>
      </w:r>
    </w:p>
    <w:p w14:paraId="775B777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0B02A8E3" w14:textId="023A802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Preukazovanie podmienok účasti je voči verejnému obstarávateľovi účinné aj spôsobom podľa § 152 ods. 4 zákona</w:t>
      </w:r>
      <w:r w:rsidR="006308B1">
        <w:rPr>
          <w:rFonts w:ascii="Arial Narrow" w:hAnsi="Arial Narrow" w:cs="Tahoma"/>
          <w:sz w:val="22"/>
        </w:rPr>
        <w:t xml:space="preserve"> – prostredníctvom zápisu do zoznamu hospodárskych subjektov</w:t>
      </w:r>
      <w:r w:rsidRPr="007B66A5">
        <w:rPr>
          <w:rFonts w:ascii="Arial Narrow" w:hAnsi="Arial Narrow" w:cs="Tahoma"/>
          <w:sz w:val="22"/>
        </w:rPr>
        <w:t xml:space="preserve">. Uchádzač zapísaný v zozname hospodárskych subjektov podľa zákona nie je povinný v procese verejného obstarávania predkladať doklady podľa § 32 ods. 2 zákona. </w:t>
      </w:r>
    </w:p>
    <w:p w14:paraId="0015B6CE"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5C12A200"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1DDB770"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41D3183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A547EE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6B8BD03A" w14:textId="77777777" w:rsidR="00DF3C77" w:rsidRDefault="00DF3C77" w:rsidP="00DF3C77">
      <w:pPr>
        <w:spacing w:after="0" w:line="240" w:lineRule="auto"/>
        <w:jc w:val="both"/>
        <w:rPr>
          <w:rFonts w:ascii="Arial Narrow" w:hAnsi="Arial Narrow"/>
          <w:b/>
          <w:sz w:val="22"/>
        </w:rPr>
      </w:pPr>
    </w:p>
    <w:p w14:paraId="6DC02F4A" w14:textId="77777777" w:rsidR="00DF3C77" w:rsidRDefault="00DF3C77" w:rsidP="00DF3C77">
      <w:pPr>
        <w:spacing w:after="0" w:line="240" w:lineRule="auto"/>
        <w:jc w:val="both"/>
        <w:rPr>
          <w:rFonts w:ascii="Arial Narrow" w:hAnsi="Arial Narrow"/>
          <w:b/>
          <w:sz w:val="22"/>
        </w:rPr>
      </w:pPr>
    </w:p>
    <w:p w14:paraId="00E30B38" w14:textId="77777777" w:rsidR="00DF3C77" w:rsidRPr="00DF3C77" w:rsidRDefault="00DF3C77" w:rsidP="00DF3C77">
      <w:pPr>
        <w:spacing w:after="0" w:line="240" w:lineRule="auto"/>
        <w:jc w:val="both"/>
        <w:rPr>
          <w:rFonts w:ascii="Arial Narrow" w:hAnsi="Arial Narrow"/>
          <w:bCs/>
          <w:sz w:val="22"/>
        </w:rPr>
      </w:pPr>
      <w:r>
        <w:rPr>
          <w:rFonts w:ascii="Arial Narrow" w:hAnsi="Arial Narrow"/>
          <w:b/>
          <w:sz w:val="22"/>
        </w:rPr>
        <w:t>2</w:t>
      </w:r>
      <w:r w:rsidRPr="00DF3C77">
        <w:rPr>
          <w:rFonts w:ascii="Arial Narrow" w:hAnsi="Arial Narrow"/>
          <w:b/>
          <w:sz w:val="22"/>
        </w:rPr>
        <w:t xml:space="preserve">. Technická spôsobilosť alebo odborná spôsobilosť </w:t>
      </w:r>
      <w:r w:rsidRPr="00DF3C77">
        <w:rPr>
          <w:rFonts w:ascii="Arial Narrow" w:hAnsi="Arial Narrow"/>
          <w:b/>
          <w:bCs/>
          <w:sz w:val="22"/>
        </w:rPr>
        <w:t xml:space="preserve">podľa § 34 zákona </w:t>
      </w:r>
    </w:p>
    <w:p w14:paraId="21321506" w14:textId="77777777" w:rsidR="00DF3C77" w:rsidRDefault="00DF3C77" w:rsidP="00DF3C77">
      <w:pPr>
        <w:spacing w:after="0" w:line="240" w:lineRule="auto"/>
        <w:jc w:val="both"/>
        <w:rPr>
          <w:rFonts w:ascii="Arial Narrow" w:hAnsi="Arial Narrow"/>
          <w:color w:val="000000"/>
          <w:sz w:val="22"/>
        </w:rPr>
      </w:pPr>
      <w:bookmarkStart w:id="0" w:name="_Hlk500234260"/>
    </w:p>
    <w:p w14:paraId="195D4B12" w14:textId="77777777" w:rsidR="00DF3C77" w:rsidRPr="00DF3C77" w:rsidRDefault="00DF3C77" w:rsidP="00DF3C77">
      <w:pPr>
        <w:spacing w:after="0" w:line="240" w:lineRule="auto"/>
        <w:jc w:val="both"/>
        <w:rPr>
          <w:rFonts w:ascii="Arial Narrow" w:hAnsi="Arial Narrow"/>
          <w:color w:val="000000"/>
          <w:sz w:val="22"/>
        </w:rPr>
      </w:pPr>
      <w:r w:rsidRPr="00DF3C77">
        <w:rPr>
          <w:rFonts w:ascii="Arial Narrow" w:hAnsi="Arial Narrow"/>
          <w:b/>
          <w:color w:val="000000"/>
          <w:sz w:val="22"/>
        </w:rPr>
        <w:t>podľa § 34 ods. 1 písm. a) zákona</w:t>
      </w:r>
      <w:r w:rsidRPr="00DF3C77">
        <w:rPr>
          <w:rFonts w:ascii="Arial Narrow" w:hAnsi="Arial Narrow"/>
          <w:color w:val="000000"/>
          <w:sz w:val="22"/>
        </w:rPr>
        <w:t xml:space="preserve">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w:t>
      </w:r>
    </w:p>
    <w:p w14:paraId="2B159FE2" w14:textId="77777777" w:rsidR="00DF3C77" w:rsidRPr="00DF3C77" w:rsidRDefault="00DF3C77" w:rsidP="00DF3C77">
      <w:pPr>
        <w:spacing w:after="0" w:line="240" w:lineRule="auto"/>
        <w:jc w:val="both"/>
        <w:rPr>
          <w:rFonts w:ascii="Arial Narrow" w:hAnsi="Arial Narrow"/>
          <w:color w:val="000000"/>
          <w:sz w:val="22"/>
        </w:rPr>
      </w:pPr>
      <w:r w:rsidRPr="00DF3C77">
        <w:rPr>
          <w:rFonts w:ascii="Arial Narrow" w:hAnsi="Arial Narrow"/>
          <w:color w:val="000000"/>
          <w:sz w:val="22"/>
        </w:rPr>
        <w:t>Za vyhlásenie verejného obstarávania sa považuje zverejnenie oznámenia o vyhlásení verejného obstarávania v Úradnom vestníku Európskej únie.</w:t>
      </w:r>
    </w:p>
    <w:p w14:paraId="77A374FB" w14:textId="77777777" w:rsidR="00DF3C77" w:rsidRPr="00DF3C77" w:rsidRDefault="00DF3C77" w:rsidP="00DF3C77">
      <w:pPr>
        <w:spacing w:after="0" w:line="240" w:lineRule="auto"/>
        <w:ind w:left="567"/>
        <w:jc w:val="both"/>
        <w:rPr>
          <w:rFonts w:ascii="Arial Narrow" w:hAnsi="Arial Narrow"/>
          <w:color w:val="000000"/>
          <w:sz w:val="22"/>
        </w:rPr>
      </w:pPr>
    </w:p>
    <w:p w14:paraId="54CBBB81" w14:textId="77777777" w:rsidR="00DF3C77" w:rsidRPr="00DF3C77" w:rsidRDefault="00DF3C77" w:rsidP="00DF3C77">
      <w:pPr>
        <w:spacing w:after="0" w:line="240" w:lineRule="auto"/>
        <w:jc w:val="both"/>
        <w:rPr>
          <w:rFonts w:ascii="Arial Narrow" w:hAnsi="Arial Narrow"/>
          <w:color w:val="000000"/>
          <w:sz w:val="22"/>
        </w:rPr>
      </w:pPr>
      <w:r w:rsidRPr="00DF3C77">
        <w:rPr>
          <w:rFonts w:ascii="Arial Narrow" w:hAnsi="Arial Narrow"/>
          <w:color w:val="000000"/>
          <w:sz w:val="22"/>
        </w:rPr>
        <w:t>Minimálna požadovaná úroveň štandardov:</w:t>
      </w:r>
    </w:p>
    <w:p w14:paraId="26E51EE7" w14:textId="5AAA825D" w:rsidR="00DF3C77" w:rsidRPr="00DF3C77" w:rsidRDefault="00DF3C77" w:rsidP="00DF3C77">
      <w:pPr>
        <w:spacing w:after="0" w:line="240" w:lineRule="auto"/>
        <w:jc w:val="both"/>
        <w:rPr>
          <w:rFonts w:ascii="Arial Narrow" w:hAnsi="Arial Narrow"/>
          <w:sz w:val="22"/>
        </w:rPr>
      </w:pPr>
      <w:r w:rsidRPr="00DF3C77">
        <w:rPr>
          <w:rFonts w:ascii="Arial Narrow" w:hAnsi="Arial Narrow" w:cs="Arial"/>
          <w:sz w:val="22"/>
        </w:rPr>
        <w:t>Splnenie vyššie uvedeného uchádzač preukáže predložením zoznamu dodávok tovaru za predchádzajúce tri roky od vyhlásenia verejného obstarávania, potvrdzujúce dodanie tovaru rovnakého alebo obdobného charakteru ako je požadovaný predmet zákazky</w:t>
      </w:r>
      <w:r>
        <w:rPr>
          <w:rFonts w:ascii="Arial Narrow" w:hAnsi="Arial Narrow" w:cs="Arial"/>
          <w:sz w:val="22"/>
        </w:rPr>
        <w:t xml:space="preserve"> </w:t>
      </w:r>
      <w:r w:rsidRPr="00DF3C77">
        <w:rPr>
          <w:rFonts w:ascii="Arial Narrow" w:hAnsi="Arial Narrow" w:cs="Arial"/>
          <w:sz w:val="22"/>
        </w:rPr>
        <w:t xml:space="preserve">v minimálnej súhrnnej hodnote </w:t>
      </w:r>
      <w:r w:rsidR="00D0783C">
        <w:rPr>
          <w:rFonts w:ascii="Arial Narrow" w:hAnsi="Arial Narrow" w:cs="Arial"/>
          <w:b/>
          <w:sz w:val="22"/>
        </w:rPr>
        <w:t>780 000</w:t>
      </w:r>
      <w:r w:rsidRPr="00DF3C77">
        <w:rPr>
          <w:rFonts w:ascii="Arial Narrow" w:hAnsi="Arial Narrow" w:cs="Arial"/>
          <w:b/>
          <w:sz w:val="22"/>
        </w:rPr>
        <w:t>,00</w:t>
      </w:r>
      <w:r w:rsidRPr="00DF3C77">
        <w:rPr>
          <w:rFonts w:ascii="Arial Narrow" w:hAnsi="Arial Narrow" w:cs="Arial"/>
          <w:sz w:val="22"/>
        </w:rPr>
        <w:t xml:space="preserve"> EUR bez DPH</w:t>
      </w:r>
      <w:r>
        <w:rPr>
          <w:rFonts w:ascii="Arial Narrow" w:hAnsi="Arial Narrow" w:cs="Arial"/>
          <w:sz w:val="22"/>
        </w:rPr>
        <w:t xml:space="preserve">. </w:t>
      </w:r>
      <w:r w:rsidRPr="00DF3C77">
        <w:rPr>
          <w:rFonts w:ascii="Arial Narrow" w:hAnsi="Arial Narrow" w:cs="Arial"/>
          <w:sz w:val="22"/>
        </w:rPr>
        <w:t>Za obdobný charakter sa považujú dodávky prístrojového vybavenia v zmysle opisu predmetu zákazky</w:t>
      </w:r>
      <w:r>
        <w:rPr>
          <w:rFonts w:ascii="Arial Narrow" w:hAnsi="Arial Narrow" w:cs="Arial"/>
          <w:sz w:val="22"/>
        </w:rPr>
        <w:t>- Ofsetových tlačových strojov</w:t>
      </w:r>
      <w:r w:rsidR="00C26E92">
        <w:rPr>
          <w:rFonts w:ascii="Arial Narrow" w:hAnsi="Arial Narrow" w:cs="Arial"/>
          <w:sz w:val="22"/>
        </w:rPr>
        <w:t>, ich inštalácie a servisu.</w:t>
      </w:r>
    </w:p>
    <w:bookmarkEnd w:id="0"/>
    <w:p w14:paraId="3EDF51FE" w14:textId="77777777" w:rsidR="00DF3C77" w:rsidRPr="00DF3C77" w:rsidRDefault="00DF3C77" w:rsidP="00DF3C77">
      <w:pPr>
        <w:spacing w:after="0" w:line="240" w:lineRule="auto"/>
        <w:jc w:val="both"/>
        <w:rPr>
          <w:rFonts w:ascii="Arial Narrow" w:hAnsi="Arial Narrow" w:cs="Arial"/>
          <w:sz w:val="22"/>
        </w:rPr>
      </w:pPr>
      <w:r w:rsidRPr="00DF3C77">
        <w:rPr>
          <w:rFonts w:ascii="Arial Narrow" w:hAnsi="Arial Narrow" w:cs="Arial"/>
          <w:sz w:val="22"/>
        </w:rPr>
        <w:t>Pri prepočte inej meny na menu euro sa použije kurz Európskej centrálnej banky platný v deň odoslania tohto oznámenia o vyhlásení verejného obstarávania na uverejnenie v Úradn</w:t>
      </w:r>
      <w:bookmarkStart w:id="1" w:name="_GoBack"/>
      <w:bookmarkEnd w:id="1"/>
      <w:r w:rsidRPr="00DF3C77">
        <w:rPr>
          <w:rFonts w:ascii="Arial Narrow" w:hAnsi="Arial Narrow" w:cs="Arial"/>
          <w:sz w:val="22"/>
        </w:rPr>
        <w:t>om vestníku EÚ.</w:t>
      </w:r>
    </w:p>
    <w:p w14:paraId="18596175" w14:textId="77777777" w:rsidR="00DF3C77" w:rsidRDefault="00DF3C77" w:rsidP="007B66A5">
      <w:pPr>
        <w:autoSpaceDE w:val="0"/>
        <w:autoSpaceDN w:val="0"/>
        <w:adjustRightInd w:val="0"/>
        <w:spacing w:after="0" w:line="240" w:lineRule="auto"/>
        <w:jc w:val="both"/>
        <w:rPr>
          <w:rFonts w:ascii="Arial Narrow" w:hAnsi="Arial Narrow" w:cs="Tahoma"/>
          <w:sz w:val="22"/>
        </w:rPr>
      </w:pPr>
    </w:p>
    <w:p w14:paraId="37FC735C" w14:textId="77777777" w:rsidR="00DF3C77" w:rsidRDefault="00DF3C77" w:rsidP="007B66A5">
      <w:pPr>
        <w:autoSpaceDE w:val="0"/>
        <w:autoSpaceDN w:val="0"/>
        <w:adjustRightInd w:val="0"/>
        <w:spacing w:after="0" w:line="240" w:lineRule="auto"/>
        <w:jc w:val="both"/>
        <w:rPr>
          <w:rFonts w:ascii="Arial Narrow" w:hAnsi="Arial Narrow" w:cs="Tahoma"/>
          <w:sz w:val="22"/>
        </w:rPr>
      </w:pPr>
    </w:p>
    <w:p w14:paraId="6AE2708D"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r w:rsidRPr="00DF3C77">
        <w:rPr>
          <w:rFonts w:ascii="Arial Narrow" w:hAnsi="Arial Narrow" w:cs="Tahoma"/>
          <w:sz w:val="22"/>
        </w:rPr>
        <w:t>Uchádzač môže na preukázanie technickej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preukazuje vo vzťahu k tej časti predmetu zákazky, na ktorú boli kapacity uchádzačovi poskytnuté.</w:t>
      </w:r>
    </w:p>
    <w:p w14:paraId="0C04D327"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30253172" w14:textId="421A650D" w:rsidR="00DF3C77" w:rsidRPr="00DF3C77" w:rsidRDefault="00DF3C77" w:rsidP="00DF3C77">
      <w:pPr>
        <w:autoSpaceDE w:val="0"/>
        <w:autoSpaceDN w:val="0"/>
        <w:adjustRightInd w:val="0"/>
        <w:spacing w:after="0" w:line="240" w:lineRule="auto"/>
        <w:jc w:val="both"/>
        <w:rPr>
          <w:rFonts w:ascii="Arial Narrow" w:hAnsi="Arial Narrow" w:cs="Tahoma"/>
          <w:sz w:val="22"/>
        </w:rPr>
      </w:pPr>
      <w:r w:rsidRPr="00DF3C77">
        <w:rPr>
          <w:rFonts w:ascii="Arial Narrow" w:hAnsi="Arial Narrow" w:cs="Tahoma"/>
          <w:sz w:val="22"/>
        </w:rPr>
        <w:t>V prípade, že sa verejného obstarávania zúčastní skupina dodávateľov, skupina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p>
    <w:p w14:paraId="1DE6B7AF"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3721832D"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1BB21D95"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r w:rsidRPr="00DF3C77">
        <w:rPr>
          <w:rFonts w:ascii="Arial Narrow" w:hAnsi="Arial Narrow" w:cs="Tahoma"/>
          <w:sz w:val="22"/>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1B259481"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0BBED542" w14:textId="0292502C" w:rsidR="00DF3C77" w:rsidRPr="00DF3C77" w:rsidRDefault="004F531E" w:rsidP="00DF3C77">
      <w:pPr>
        <w:autoSpaceDE w:val="0"/>
        <w:autoSpaceDN w:val="0"/>
        <w:adjustRightInd w:val="0"/>
        <w:spacing w:after="0" w:line="240" w:lineRule="auto"/>
        <w:jc w:val="both"/>
        <w:rPr>
          <w:rFonts w:ascii="Arial Narrow" w:hAnsi="Arial Narrow" w:cs="Tahoma"/>
          <w:sz w:val="22"/>
        </w:rPr>
      </w:pPr>
      <w:r>
        <w:rPr>
          <w:rFonts w:ascii="Arial Narrow" w:hAnsi="Arial Narrow" w:cs="Tahoma"/>
          <w:sz w:val="22"/>
        </w:rPr>
        <w:t>Uchádzač</w:t>
      </w:r>
      <w:r w:rsidR="00DF3C77" w:rsidRPr="00DF3C77">
        <w:rPr>
          <w:rFonts w:ascii="Arial Narrow" w:hAnsi="Arial Narrow" w:cs="Tahoma"/>
          <w:sz w:val="22"/>
        </w:rPr>
        <w:t xml:space="preserve"> môže predbežne nahradiť doklady na preukázanie splnenia podmienok účasti jednotným európskym dokumentom podľa § 39 ods. 1 zákona.</w:t>
      </w:r>
    </w:p>
    <w:p w14:paraId="330807E3" w14:textId="77777777" w:rsidR="00DF3C77" w:rsidRPr="00DF3C77" w:rsidRDefault="00DF3C77" w:rsidP="007B66A5">
      <w:pPr>
        <w:autoSpaceDE w:val="0"/>
        <w:autoSpaceDN w:val="0"/>
        <w:adjustRightInd w:val="0"/>
        <w:spacing w:after="0" w:line="240" w:lineRule="auto"/>
        <w:jc w:val="both"/>
        <w:rPr>
          <w:rFonts w:ascii="Arial Narrow" w:hAnsi="Arial Narrow" w:cs="Tahoma"/>
          <w:sz w:val="22"/>
        </w:rPr>
      </w:pPr>
    </w:p>
    <w:p w14:paraId="5623712C" w14:textId="77777777" w:rsidR="00C15837" w:rsidRDefault="00C15837" w:rsidP="008812C1">
      <w:pPr>
        <w:jc w:val="center"/>
        <w:rPr>
          <w:rFonts w:ascii="Arial Narrow" w:hAnsi="Arial Narrow"/>
          <w:sz w:val="22"/>
        </w:rPr>
      </w:pPr>
    </w:p>
    <w:sectPr w:rsidR="00C15837" w:rsidSect="00A1003E">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91138" w16cex:dateUtc="2020-11-13T13:05:00Z"/>
  <w16cex:commentExtensible w16cex:durableId="23591159" w16cex:dateUtc="2020-11-1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442C35" w16cid:durableId="23591138"/>
  <w16cid:commentId w16cid:paraId="22D3F81D" w16cid:durableId="235911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0B57" w14:textId="77777777" w:rsidR="000C68DC" w:rsidRDefault="000C68DC" w:rsidP="008E5C6C">
      <w:pPr>
        <w:spacing w:after="0" w:line="240" w:lineRule="auto"/>
      </w:pPr>
      <w:r>
        <w:separator/>
      </w:r>
    </w:p>
  </w:endnote>
  <w:endnote w:type="continuationSeparator" w:id="0">
    <w:p w14:paraId="385789D3" w14:textId="77777777" w:rsidR="000C68DC" w:rsidRDefault="000C68DC"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FD05" w14:textId="77777777" w:rsidR="00C15837" w:rsidRDefault="00C15837">
    <w:pPr>
      <w:pStyle w:val="Pta"/>
    </w:pPr>
    <w:r>
      <w:rPr>
        <w:noProof/>
        <w:lang w:eastAsia="sk-SK"/>
      </w:rPr>
      <w:drawing>
        <wp:inline distT="0" distB="0" distL="0" distR="0" wp14:anchorId="3D0C05B2" wp14:editId="11434CCB">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9796E" w14:textId="77777777" w:rsidR="000C68DC" w:rsidRDefault="000C68DC" w:rsidP="008E5C6C">
      <w:pPr>
        <w:spacing w:after="0" w:line="240" w:lineRule="auto"/>
      </w:pPr>
      <w:r>
        <w:separator/>
      </w:r>
    </w:p>
  </w:footnote>
  <w:footnote w:type="continuationSeparator" w:id="0">
    <w:p w14:paraId="7CBA1F69" w14:textId="77777777" w:rsidR="000C68DC" w:rsidRDefault="000C68DC"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07F5"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w:t>
    </w:r>
    <w:r w:rsidR="008129F5">
      <w:rPr>
        <w:rFonts w:ascii="Arial Narrow" w:hAnsi="Arial Narrow"/>
        <w:szCs w:val="20"/>
      </w:rPr>
      <w:t xml:space="preserve"> </w:t>
    </w:r>
    <w:r w:rsidRPr="00E70CD6">
      <w:rPr>
        <w:rFonts w:ascii="Arial Narrow" w:hAnsi="Arial Narrow"/>
        <w:szCs w:val="20"/>
      </w:rPr>
      <w:t>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71713BA2"/>
    <w:multiLevelType w:val="multilevel"/>
    <w:tmpl w:val="25A8034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0"/>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12626"/>
    <w:rsid w:val="000243C6"/>
    <w:rsid w:val="00076DBA"/>
    <w:rsid w:val="000A2C8A"/>
    <w:rsid w:val="000C5887"/>
    <w:rsid w:val="000C68DC"/>
    <w:rsid w:val="000E0B22"/>
    <w:rsid w:val="000E4CF4"/>
    <w:rsid w:val="00123E2F"/>
    <w:rsid w:val="001257F2"/>
    <w:rsid w:val="00185224"/>
    <w:rsid w:val="00187417"/>
    <w:rsid w:val="001B3466"/>
    <w:rsid w:val="001D43DB"/>
    <w:rsid w:val="00256EBF"/>
    <w:rsid w:val="00297ED4"/>
    <w:rsid w:val="002A1995"/>
    <w:rsid w:val="002A4BD7"/>
    <w:rsid w:val="002D1876"/>
    <w:rsid w:val="002D2A7F"/>
    <w:rsid w:val="00300583"/>
    <w:rsid w:val="00316A29"/>
    <w:rsid w:val="00382F8A"/>
    <w:rsid w:val="003954FC"/>
    <w:rsid w:val="003A300F"/>
    <w:rsid w:val="003C337E"/>
    <w:rsid w:val="003D1BF4"/>
    <w:rsid w:val="00402465"/>
    <w:rsid w:val="00402BAB"/>
    <w:rsid w:val="0040403E"/>
    <w:rsid w:val="0040789B"/>
    <w:rsid w:val="00454ECA"/>
    <w:rsid w:val="004725B1"/>
    <w:rsid w:val="0047620A"/>
    <w:rsid w:val="004D2157"/>
    <w:rsid w:val="004D3FCC"/>
    <w:rsid w:val="004D6607"/>
    <w:rsid w:val="004E1DFB"/>
    <w:rsid w:val="004F531E"/>
    <w:rsid w:val="0053024B"/>
    <w:rsid w:val="00540B1A"/>
    <w:rsid w:val="00545055"/>
    <w:rsid w:val="00581E44"/>
    <w:rsid w:val="005871B1"/>
    <w:rsid w:val="00592954"/>
    <w:rsid w:val="005B2586"/>
    <w:rsid w:val="005C28C2"/>
    <w:rsid w:val="005D3998"/>
    <w:rsid w:val="006308B1"/>
    <w:rsid w:val="006439FC"/>
    <w:rsid w:val="00656645"/>
    <w:rsid w:val="006575E4"/>
    <w:rsid w:val="00660D0D"/>
    <w:rsid w:val="0066697F"/>
    <w:rsid w:val="00667827"/>
    <w:rsid w:val="006A5A0E"/>
    <w:rsid w:val="006B2552"/>
    <w:rsid w:val="006B455F"/>
    <w:rsid w:val="006D39C1"/>
    <w:rsid w:val="006F5C6D"/>
    <w:rsid w:val="0070459B"/>
    <w:rsid w:val="007217F2"/>
    <w:rsid w:val="00785D19"/>
    <w:rsid w:val="007B66A5"/>
    <w:rsid w:val="007E0E9B"/>
    <w:rsid w:val="007F3E27"/>
    <w:rsid w:val="007F75CC"/>
    <w:rsid w:val="008129F5"/>
    <w:rsid w:val="00850036"/>
    <w:rsid w:val="008812C1"/>
    <w:rsid w:val="008875D0"/>
    <w:rsid w:val="008E5C6C"/>
    <w:rsid w:val="008F2E4C"/>
    <w:rsid w:val="008F4323"/>
    <w:rsid w:val="009033F9"/>
    <w:rsid w:val="00965B78"/>
    <w:rsid w:val="009F2EC2"/>
    <w:rsid w:val="00A1003E"/>
    <w:rsid w:val="00A46D20"/>
    <w:rsid w:val="00A5399E"/>
    <w:rsid w:val="00A54A19"/>
    <w:rsid w:val="00A66778"/>
    <w:rsid w:val="00A86DB3"/>
    <w:rsid w:val="00A935EB"/>
    <w:rsid w:val="00AD3CB3"/>
    <w:rsid w:val="00AE5732"/>
    <w:rsid w:val="00AF5FB0"/>
    <w:rsid w:val="00B16BB4"/>
    <w:rsid w:val="00B51D06"/>
    <w:rsid w:val="00BE5FBA"/>
    <w:rsid w:val="00BF097D"/>
    <w:rsid w:val="00BF7178"/>
    <w:rsid w:val="00C03D0F"/>
    <w:rsid w:val="00C14532"/>
    <w:rsid w:val="00C15837"/>
    <w:rsid w:val="00C2284E"/>
    <w:rsid w:val="00C26E92"/>
    <w:rsid w:val="00C93963"/>
    <w:rsid w:val="00C972D4"/>
    <w:rsid w:val="00CB112A"/>
    <w:rsid w:val="00CD3EF7"/>
    <w:rsid w:val="00CD53AF"/>
    <w:rsid w:val="00CF675B"/>
    <w:rsid w:val="00D043B3"/>
    <w:rsid w:val="00D05717"/>
    <w:rsid w:val="00D0783C"/>
    <w:rsid w:val="00D36EF8"/>
    <w:rsid w:val="00D675DE"/>
    <w:rsid w:val="00D80789"/>
    <w:rsid w:val="00DA7A68"/>
    <w:rsid w:val="00DD30A4"/>
    <w:rsid w:val="00DD6CBD"/>
    <w:rsid w:val="00DF3C77"/>
    <w:rsid w:val="00E53BC2"/>
    <w:rsid w:val="00E70CD6"/>
    <w:rsid w:val="00EE2B73"/>
    <w:rsid w:val="00EF5E3C"/>
    <w:rsid w:val="00EF7AA5"/>
    <w:rsid w:val="00F1205D"/>
    <w:rsid w:val="00F15F7A"/>
    <w:rsid w:val="00F274EA"/>
    <w:rsid w:val="00F3575A"/>
    <w:rsid w:val="00F43712"/>
    <w:rsid w:val="00FA210A"/>
    <w:rsid w:val="00FC3ECF"/>
    <w:rsid w:val="00FD29F1"/>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57CB"/>
  <w15:docId w15:val="{23643199-454E-4AE2-9FF1-34FFFED0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1585</Words>
  <Characters>9037</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Tomáš Kundrát</cp:lastModifiedBy>
  <cp:revision>12</cp:revision>
  <dcterms:created xsi:type="dcterms:W3CDTF">2020-11-13T12:55:00Z</dcterms:created>
  <dcterms:modified xsi:type="dcterms:W3CDTF">2020-11-25T12:34:00Z</dcterms:modified>
</cp:coreProperties>
</file>