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3B7" w14:textId="50DE8925" w:rsidR="00505958" w:rsidRPr="00505958" w:rsidRDefault="00505958" w:rsidP="00505958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 w:after="200"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 xml:space="preserve">Príloha č.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4 </w:t>
      </w: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>súťažných podkladov</w:t>
      </w:r>
    </w:p>
    <w:p w14:paraId="603AF3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09E00F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9741D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C6C87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E04C5B6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8219A1A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C21C01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5D4359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188A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05958" w:rsidRPr="00505958" w14:paraId="0208FE2C" w14:textId="77777777" w:rsidTr="00160DB1">
        <w:trPr>
          <w:trHeight w:val="2700"/>
        </w:trPr>
        <w:tc>
          <w:tcPr>
            <w:tcW w:w="9073" w:type="dxa"/>
          </w:tcPr>
          <w:p w14:paraId="5D87C22C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30FD5B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42246F6" w14:textId="4602DDA8" w:rsidR="00505958" w:rsidRPr="00505958" w:rsidRDefault="00CD76B6" w:rsidP="00CD76B6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>kritérium na vyhodnotenie ponúk, pravidlá jeho uplatnenia a pravidlá elektronickej aukcie</w:t>
            </w:r>
          </w:p>
        </w:tc>
      </w:tr>
    </w:tbl>
    <w:p w14:paraId="2E0B974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DB8637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75CC3AF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37002B0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1C7F2554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54C7B811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CED58F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87BC292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</w:pPr>
    </w:p>
    <w:p w14:paraId="09E7F130" w14:textId="0EE41AA8" w:rsidR="00910841" w:rsidRPr="00E155FA" w:rsidRDefault="00505958" w:rsidP="0050595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05958">
        <w:rPr>
          <w:rFonts w:ascii="Arial Narrow" w:eastAsia="Calibri" w:hAnsi="Arial Narrow" w:cs="Arial"/>
          <w:b/>
          <w:smallCaps/>
          <w:sz w:val="22"/>
          <w:szCs w:val="22"/>
          <w:lang w:eastAsia="en-US"/>
        </w:rPr>
        <w:br w:type="page"/>
      </w:r>
      <w:r w:rsidR="00910841" w:rsidRPr="00E155FA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PONÚK,</w:t>
      </w:r>
    </w:p>
    <w:p w14:paraId="221C633B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178907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EB8E3B9" w14:textId="4334A843" w:rsidR="00B24B84" w:rsidRPr="008C606C" w:rsidRDefault="00B24B84" w:rsidP="004F74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 w:rsidR="004F74F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352113F" w14:textId="6A14ADFA" w:rsidR="00B24B84" w:rsidRPr="00A22515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14:paraId="5E6C88F5" w14:textId="66A7BC55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2EA295E8" w:rsidR="00D02F5E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  <w:r w:rsidR="0091084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B047438" w14:textId="10DFDBB9" w:rsidR="002845DE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Jediným kritériom na vyhodnotenie ponúk</w:t>
      </w:r>
      <w:r>
        <w:rPr>
          <w:rFonts w:ascii="Arial Narrow" w:hAnsi="Arial Narrow"/>
          <w:sz w:val="22"/>
          <w:szCs w:val="22"/>
        </w:rPr>
        <w:t xml:space="preserve"> v </w:t>
      </w:r>
      <w:r w:rsidR="000C56C3">
        <w:rPr>
          <w:rFonts w:ascii="Arial Narrow" w:hAnsi="Arial Narrow"/>
          <w:sz w:val="22"/>
          <w:szCs w:val="22"/>
        </w:rPr>
        <w:t>príslušnej</w:t>
      </w:r>
      <w:r>
        <w:rPr>
          <w:rFonts w:ascii="Arial Narrow" w:hAnsi="Arial Narrow"/>
          <w:sz w:val="22"/>
          <w:szCs w:val="22"/>
        </w:rPr>
        <w:t xml:space="preserve"> časti </w:t>
      </w:r>
      <w:r w:rsidRPr="00E155FA">
        <w:rPr>
          <w:rFonts w:ascii="Arial Narrow" w:hAnsi="Arial Narrow"/>
          <w:sz w:val="22"/>
          <w:szCs w:val="22"/>
        </w:rPr>
        <w:t xml:space="preserve">je najnižšia </w:t>
      </w:r>
      <w:r w:rsidRPr="00AC7556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Celková cena predmetu zákazky vyjadrená v EUR bez DPH</w:t>
      </w:r>
      <w:r w:rsidRPr="00E155FA">
        <w:rPr>
          <w:rFonts w:ascii="Arial Narrow" w:hAnsi="Arial Narrow"/>
          <w:sz w:val="22"/>
          <w:szCs w:val="22"/>
        </w:rPr>
        <w:t>, uvedená v ponuk</w:t>
      </w:r>
      <w:r w:rsidR="002845DE">
        <w:rPr>
          <w:rFonts w:ascii="Arial Narrow" w:hAnsi="Arial Narrow"/>
          <w:sz w:val="22"/>
          <w:szCs w:val="22"/>
        </w:rPr>
        <w:t>e uchádzača podľa prílohy č. 3 t</w:t>
      </w:r>
      <w:r w:rsidRPr="00E155FA">
        <w:rPr>
          <w:rFonts w:ascii="Arial Narrow" w:hAnsi="Arial Narrow"/>
          <w:sz w:val="22"/>
          <w:szCs w:val="22"/>
        </w:rPr>
        <w:t xml:space="preserve">ýchto súťažných podkladov. </w:t>
      </w:r>
    </w:p>
    <w:p w14:paraId="2E5D9F80" w14:textId="32888935" w:rsidR="00910841" w:rsidRPr="00A22515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Všetky ceny </w:t>
      </w:r>
      <w:r w:rsidR="000C56C3">
        <w:rPr>
          <w:rFonts w:ascii="Arial Narrow" w:hAnsi="Arial Narrow"/>
          <w:sz w:val="22"/>
          <w:szCs w:val="22"/>
        </w:rPr>
        <w:t xml:space="preserve">v príslušnej časti </w:t>
      </w:r>
      <w:r w:rsidRPr="00E155FA">
        <w:rPr>
          <w:rFonts w:ascii="Arial Narrow" w:hAnsi="Arial Narrow"/>
          <w:sz w:val="22"/>
          <w:szCs w:val="22"/>
        </w:rPr>
        <w:t>uvedené v ponuke uchádzača podľa prílohy č. 3 týchto súťažných podkladov musia byť zaokrúhlené na dve desatinné miesta</w:t>
      </w:r>
    </w:p>
    <w:p w14:paraId="166C02C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38556A5F" w:rsidR="00D02F5E" w:rsidRPr="00A22515" w:rsidRDefault="00910841" w:rsidP="00A537B2">
      <w:pPr>
        <w:rPr>
          <w:rFonts w:ascii="Arial Narrow" w:hAnsi="Arial Narrow" w:cs="Arial"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predmetu zákazky 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14:paraId="13CF626C" w14:textId="2FDAA251" w:rsidR="000C0675" w:rsidRPr="00CA7C4D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>Celkovou cenou za predmet zákazky 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0C56C3" w:rsidRPr="00654637">
        <w:rPr>
          <w:rFonts w:ascii="Arial Narrow" w:hAnsi="Arial Narrow"/>
          <w:sz w:val="22"/>
          <w:szCs w:val="22"/>
        </w:rPr>
        <w:t>Celkovou cenou predmetu zákazky vyjadren</w:t>
      </w:r>
      <w:r w:rsidR="000C56C3">
        <w:rPr>
          <w:rFonts w:ascii="Arial Narrow" w:hAnsi="Arial Narrow"/>
          <w:sz w:val="22"/>
          <w:szCs w:val="22"/>
        </w:rPr>
        <w:t>ú</w:t>
      </w:r>
      <w:r w:rsidR="000C56C3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predmetu zákazky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za tretiu, atď. </w:t>
      </w:r>
      <w:r w:rsidR="00CA7C4D" w:rsidRPr="00CA7C4D">
        <w:rPr>
          <w:rFonts w:ascii="Arial Narrow" w:eastAsia="Calibri" w:hAnsi="Arial Narrow"/>
          <w:sz w:val="22"/>
          <w:szCs w:val="22"/>
          <w:lang w:eastAsia="sk-SK"/>
        </w:rPr>
        <w:t xml:space="preserve">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15FF80AF" w14:textId="74023C69" w:rsidR="009751FC" w:rsidRPr="004D1A15" w:rsidRDefault="001701A1" w:rsidP="006E728E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</w:t>
      </w:r>
      <w:r w:rsidRPr="004D1A15">
        <w:rPr>
          <w:rFonts w:ascii="Arial Narrow" w:hAnsi="Arial Narrow"/>
          <w:sz w:val="22"/>
          <w:szCs w:val="22"/>
        </w:rPr>
        <w:t>predmet zákazky vyjadrenej v EUR bez DPH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</w:t>
      </w:r>
      <w:r w:rsidR="00CB7AFE">
        <w:rPr>
          <w:rFonts w:ascii="Arial Narrow" w:eastAsia="Calibri" w:hAnsi="Arial Narrow"/>
          <w:sz w:val="22"/>
          <w:szCs w:val="22"/>
          <w:lang w:eastAsia="sk-SK"/>
        </w:rPr>
        <w:t xml:space="preserve"> pred uskutočnením elektronickej </w:t>
      </w:r>
      <w:r w:rsidR="00351AE8">
        <w:rPr>
          <w:rFonts w:ascii="Arial Narrow" w:eastAsia="Calibri" w:hAnsi="Arial Narrow"/>
          <w:sz w:val="22"/>
          <w:szCs w:val="22"/>
          <w:lang w:eastAsia="sk-SK"/>
        </w:rPr>
        <w:t>aukcie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, rozhoduje o poradí ponúk</w:t>
      </w:r>
      <w:r w:rsidR="00E345B9">
        <w:rPr>
          <w:rFonts w:ascii="Arial Narrow" w:eastAsia="Calibri" w:hAnsi="Arial Narrow"/>
          <w:sz w:val="22"/>
          <w:szCs w:val="22"/>
          <w:lang w:eastAsia="sk-SK"/>
        </w:rPr>
        <w:t xml:space="preserve"> najnižšia cena za položku č.1</w:t>
      </w:r>
      <w:r w:rsidR="00E345B9" w:rsidRPr="00E345B9">
        <w:t xml:space="preserve"> </w:t>
      </w:r>
      <w:r w:rsidR="00E345B9" w:rsidRPr="00E345B9">
        <w:rPr>
          <w:rFonts w:ascii="Arial Narrow" w:eastAsia="Calibri" w:hAnsi="Arial Narrow"/>
          <w:sz w:val="22"/>
          <w:szCs w:val="22"/>
          <w:lang w:eastAsia="sk-SK"/>
        </w:rPr>
        <w:t>Elektronické snímacie zariadenie</w:t>
      </w:r>
      <w:r w:rsidR="00E345B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60E27CA" w14:textId="111929A4" w:rsidR="00682652" w:rsidRPr="00A710B2" w:rsidRDefault="00682652" w:rsidP="00682652">
      <w:pPr>
        <w:rPr>
          <w:rFonts w:ascii="Arial Narrow" w:hAnsi="Arial Narrow"/>
          <w:sz w:val="22"/>
          <w:szCs w:val="22"/>
        </w:rPr>
      </w:pPr>
    </w:p>
    <w:p w14:paraId="2A2FDCBE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093422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300CA79F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14:paraId="70873B60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14:paraId="0EFDD00F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3A237E6E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7EB61787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14:paraId="2AB18085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69C262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64C6F1EB" w14:textId="1FC161F5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predmet 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</w:p>
    <w:p w14:paraId="3F3BA853" w14:textId="678E0555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Predmetom elektronickej aukcie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</w:t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celkovú cenu za predmet zákazky vyjadren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EB55DD4" w14:textId="77777777" w:rsidR="000C56C3" w:rsidRPr="00E155FA" w:rsidRDefault="000C56C3" w:rsidP="000C56C3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3EDD7A83" w14:textId="434E1ADA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nových jednotkových cien vyjadrených v EUR bez DPH.</w:t>
      </w:r>
    </w:p>
    <w:p w14:paraId="51B1CE07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2D39C59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1C5E5D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6B30B0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45EB0274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63CA032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57E859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07AECAB5" w14:textId="354FEA78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 w:rsidR="00203DD7">
        <w:rPr>
          <w:rFonts w:ascii="Arial Narrow" w:eastAsia="Calibri" w:hAnsi="Arial Narrow"/>
          <w:sz w:val="22"/>
          <w:szCs w:val="22"/>
          <w:u w:val="single"/>
          <w:lang w:eastAsia="sk-SK"/>
        </w:rPr>
        <w:t>ú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 w:rsidR="00203DD7">
        <w:rPr>
          <w:rFonts w:ascii="Arial Narrow" w:eastAsia="Calibri" w:hAnsi="Arial Narrow"/>
          <w:sz w:val="22"/>
          <w:szCs w:val="22"/>
          <w:u w:val="single"/>
          <w:lang w:eastAsia="sk-SK"/>
        </w:rPr>
        <w:t>é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 w:rsidR="00203DD7">
        <w:rPr>
          <w:rFonts w:ascii="Arial Narrow" w:eastAsia="Calibri" w:hAnsi="Arial Narrow"/>
          <w:sz w:val="22"/>
          <w:szCs w:val="22"/>
          <w:u w:val="single"/>
          <w:lang w:eastAsia="sk-SK"/>
        </w:rPr>
        <w:t>y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 w:rsidR="00203DD7">
        <w:rPr>
          <w:rFonts w:ascii="Arial Narrow" w:eastAsia="Calibri" w:hAnsi="Arial Narrow"/>
          <w:sz w:val="22"/>
          <w:szCs w:val="22"/>
          <w:u w:val="single"/>
          <w:lang w:eastAsia="sk-SK"/>
        </w:rPr>
        <w:t>é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 Uchádzač bude upravovať jednotkov</w:t>
      </w:r>
      <w:r w:rsidR="00203DD7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03DD7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203DD7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EUR bez DPH smerom dole. Verejný obstarávateľ upozorňuje, že systém neumožní podať takú ponuku v rámci nového návrhu jednotkovej ceny bez DPH vyjadrenej v EUR, ktorá by dorovnala navrhovanú celkovú cenu bez DPH vyjadrenú v EUR iného uchádzača (t.</w:t>
      </w:r>
      <w:r w:rsidR="00203DD7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j. nie je možné dorovnať žiadne poradie). </w:t>
      </w:r>
    </w:p>
    <w:p w14:paraId="57A34530" w14:textId="1590AEF8" w:rsidR="000C56C3" w:rsidRPr="00E155FA" w:rsidRDefault="000C56C3" w:rsidP="000C56C3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</w:t>
      </w:r>
      <w:r w:rsidR="002845DE">
        <w:rPr>
          <w:rFonts w:ascii="Arial Narrow" w:hAnsi="Arial Narrow"/>
          <w:sz w:val="22"/>
          <w:szCs w:val="22"/>
        </w:rPr>
        <w:t xml:space="preserve">je v </w:t>
      </w:r>
      <w:r w:rsidR="002845DE" w:rsidRPr="00966721">
        <w:rPr>
          <w:rFonts w:ascii="Arial Narrow" w:hAnsi="Arial Narrow"/>
          <w:sz w:val="22"/>
          <w:szCs w:val="22"/>
        </w:rPr>
        <w:t>hodnote 10,-  EUR</w:t>
      </w:r>
      <w:r w:rsidRPr="00966721">
        <w:rPr>
          <w:rFonts w:ascii="Arial Narrow" w:hAnsi="Arial Narrow"/>
          <w:sz w:val="22"/>
          <w:szCs w:val="22"/>
        </w:rPr>
        <w:t>.</w:t>
      </w:r>
    </w:p>
    <w:p w14:paraId="2A072CD6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0693F5C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DA22E8F" w14:textId="704FCC9B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41E101E9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14:paraId="701318F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7B0B277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0BB3BB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69EE0BE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6C4BA0DD" w14:textId="557E1B44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Elektronická aukcia bude trvať 20 minút, s opakovanou možnosťou predĺženia o 2 minúty. Ak účastník ponúkne nov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jednotkov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cen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vyjadren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EUR bez DPH, ktor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spĺňa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jú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vé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jednotkov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é ceny vyjadrené v EUR bez DPH, ktoré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spĺňa</w:t>
      </w:r>
      <w:r w:rsidR="000A3334">
        <w:rPr>
          <w:rFonts w:ascii="Arial Narrow" w:eastAsia="Calibri" w:hAnsi="Arial Narrow"/>
          <w:color w:val="000000"/>
          <w:sz w:val="22"/>
          <w:szCs w:val="22"/>
          <w:lang w:eastAsia="sk-SK"/>
        </w:rPr>
        <w:t>jú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požiadavky týkajúce sa minimálnych rozdielov, a to aj opakovane.</w:t>
      </w:r>
    </w:p>
    <w:p w14:paraId="2C673978" w14:textId="77777777" w:rsidR="000C56C3" w:rsidRPr="00E155FA" w:rsidRDefault="000C56C3" w:rsidP="000C56C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0F147BC0" w14:textId="77777777" w:rsidR="000C56C3" w:rsidRPr="00E155FA" w:rsidRDefault="000C56C3" w:rsidP="000C56C3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 bez DPH, ktoré spĺňajú požiadavky týkajúce sa minimálnych rozdielov.</w:t>
      </w:r>
    </w:p>
    <w:p w14:paraId="1FDC2F59" w14:textId="77777777" w:rsidR="000C56C3" w:rsidRPr="00351AE8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jednotkové ceny vyjadrené v EUR bez DPH, ktoré </w:t>
      </w:r>
      <w:bookmarkStart w:id="0" w:name="_GoBack"/>
      <w:r w:rsidRPr="00351AE8">
        <w:rPr>
          <w:rFonts w:ascii="Arial Narrow" w:eastAsia="Calibri" w:hAnsi="Arial Narrow"/>
          <w:sz w:val="22"/>
          <w:szCs w:val="22"/>
          <w:lang w:eastAsia="sk-SK"/>
        </w:rPr>
        <w:t>boli predmetom elektronickej aukcii.</w:t>
      </w:r>
    </w:p>
    <w:p w14:paraId="5D111E74" w14:textId="77777777" w:rsidR="000C56C3" w:rsidRPr="00351AE8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51AE8">
        <w:rPr>
          <w:rFonts w:ascii="Arial Narrow" w:eastAsia="Calibri" w:hAnsi="Arial Narrow"/>
          <w:sz w:val="22"/>
          <w:szCs w:val="22"/>
          <w:u w:val="single"/>
          <w:lang w:eastAsia="sk-SK"/>
        </w:rPr>
        <w:t>Od uchádzača, ktorý sa v elektronickej aukcii umiestni na 1. mieste v poradí sa požaduje predloženie aktualizovaného štruktúrovaného rozpočtu ceny - prílohy 3 v súlade s výsledkom elektronickej aukcie, najneskôr do 2 pracovných dní od skončenia elektronickej aukcie</w:t>
      </w:r>
      <w:r w:rsidRPr="00351AE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4CA4006" w14:textId="77777777" w:rsidR="000C56C3" w:rsidRPr="00351AE8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51AE8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bookmarkEnd w:id="0"/>
    <w:p w14:paraId="0E07180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4130682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Firefox, Google Chrome.</w:t>
      </w:r>
    </w:p>
    <w:p w14:paraId="79197EA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14:paraId="621DCE79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14:paraId="2C86DC23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</w:t>
      </w:r>
      <w:proofErr w:type="spellEnd"/>
      <w:r w:rsidRPr="00E155FA">
        <w:rPr>
          <w:rFonts w:ascii="Arial Narrow" w:hAnsi="Arial Narrow"/>
          <w:sz w:val="22"/>
        </w:rPr>
        <w:t xml:space="preserve">-in, </w:t>
      </w:r>
      <w:proofErr w:type="spellStart"/>
      <w:r w:rsidRPr="00E155FA">
        <w:rPr>
          <w:rFonts w:ascii="Arial Narrow" w:hAnsi="Arial Narrow"/>
          <w:sz w:val="22"/>
        </w:rPr>
        <w:t>add</w:t>
      </w:r>
      <w:proofErr w:type="spellEnd"/>
      <w:r w:rsidRPr="00E155FA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14:paraId="4CB7FEEF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9BBF6F5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14:paraId="4AFDF091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14:paraId="0B02C32B" w14:textId="77777777" w:rsidR="000C56C3" w:rsidRPr="00E155FA" w:rsidRDefault="000C56C3" w:rsidP="000C56C3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14:paraId="496713F7" w14:textId="5F5D6DD9" w:rsidR="00660E33" w:rsidRDefault="00660E3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060FF5" w14:textId="00F4C646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779EDA7B" w14:textId="77777777" w:rsidR="000C56C3" w:rsidRPr="001527AB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61FC615B" w14:textId="77777777" w:rsidR="000C56C3" w:rsidRPr="00C24EC0" w:rsidRDefault="000C56C3" w:rsidP="000C56C3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56C3" w:rsidRPr="00C24EC0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AC3D0" w14:textId="77777777" w:rsidR="007840C7" w:rsidRDefault="007840C7" w:rsidP="007C6581">
      <w:r>
        <w:separator/>
      </w:r>
    </w:p>
  </w:endnote>
  <w:endnote w:type="continuationSeparator" w:id="0">
    <w:p w14:paraId="1BE9DA19" w14:textId="77777777" w:rsidR="007840C7" w:rsidRDefault="007840C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5E68FF36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351AE8" w:rsidRPr="00351AE8">
          <w:rPr>
            <w:rFonts w:ascii="Arial Narrow" w:hAnsi="Arial Narrow"/>
            <w:lang w:val="sk-SK"/>
          </w:rPr>
          <w:t>4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05E2" w14:textId="77777777" w:rsidR="007840C7" w:rsidRDefault="007840C7" w:rsidP="007C6581">
      <w:r>
        <w:separator/>
      </w:r>
    </w:p>
  </w:footnote>
  <w:footnote w:type="continuationSeparator" w:id="0">
    <w:p w14:paraId="3F607660" w14:textId="77777777" w:rsidR="007840C7" w:rsidRDefault="007840C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32A121D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7A8"/>
    <w:rsid w:val="000721BB"/>
    <w:rsid w:val="00082686"/>
    <w:rsid w:val="00094C1F"/>
    <w:rsid w:val="000A0E9C"/>
    <w:rsid w:val="000A3334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660AE"/>
    <w:rsid w:val="001701A1"/>
    <w:rsid w:val="001739FA"/>
    <w:rsid w:val="00183C74"/>
    <w:rsid w:val="001918A0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03DD7"/>
    <w:rsid w:val="00222D88"/>
    <w:rsid w:val="00227A67"/>
    <w:rsid w:val="00246301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51AE8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58B"/>
    <w:rsid w:val="003F4C98"/>
    <w:rsid w:val="00406E1B"/>
    <w:rsid w:val="0041211D"/>
    <w:rsid w:val="004214EC"/>
    <w:rsid w:val="00434CBB"/>
    <w:rsid w:val="0043594E"/>
    <w:rsid w:val="00452E1E"/>
    <w:rsid w:val="00475054"/>
    <w:rsid w:val="004929BE"/>
    <w:rsid w:val="004C179F"/>
    <w:rsid w:val="004C75D4"/>
    <w:rsid w:val="004D1A15"/>
    <w:rsid w:val="004E0080"/>
    <w:rsid w:val="004F0513"/>
    <w:rsid w:val="004F74FC"/>
    <w:rsid w:val="00503395"/>
    <w:rsid w:val="00505958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25253"/>
    <w:rsid w:val="00653726"/>
    <w:rsid w:val="006538F5"/>
    <w:rsid w:val="00654637"/>
    <w:rsid w:val="00660E33"/>
    <w:rsid w:val="0066294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840C7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40F6E"/>
    <w:rsid w:val="0085218D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C6D72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37B2"/>
    <w:rsid w:val="00A57C64"/>
    <w:rsid w:val="00A60730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B7AFE"/>
    <w:rsid w:val="00CD3C28"/>
    <w:rsid w:val="00CD6C8F"/>
    <w:rsid w:val="00CD6DDF"/>
    <w:rsid w:val="00CD76B6"/>
    <w:rsid w:val="00CE7E96"/>
    <w:rsid w:val="00CF2525"/>
    <w:rsid w:val="00D02F5E"/>
    <w:rsid w:val="00D21D4B"/>
    <w:rsid w:val="00D2606E"/>
    <w:rsid w:val="00D26182"/>
    <w:rsid w:val="00D44EF1"/>
    <w:rsid w:val="00D5042F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4999"/>
    <w:rsid w:val="00E345B9"/>
    <w:rsid w:val="00E40E17"/>
    <w:rsid w:val="00E52814"/>
    <w:rsid w:val="00E55DB9"/>
    <w:rsid w:val="00E667D2"/>
    <w:rsid w:val="00E853BC"/>
    <w:rsid w:val="00E97FFB"/>
    <w:rsid w:val="00EA370C"/>
    <w:rsid w:val="00EA4A47"/>
    <w:rsid w:val="00EC756A"/>
    <w:rsid w:val="00ED09E2"/>
    <w:rsid w:val="00EE1360"/>
    <w:rsid w:val="00EE19FE"/>
    <w:rsid w:val="00EE44E9"/>
    <w:rsid w:val="00EF3DB5"/>
    <w:rsid w:val="00F01372"/>
    <w:rsid w:val="00F133FF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61F10CFC-C5CA-4342-B950-6951605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7</cp:revision>
  <cp:lastPrinted>2020-10-28T08:37:00Z</cp:lastPrinted>
  <dcterms:created xsi:type="dcterms:W3CDTF">2020-09-28T09:04:00Z</dcterms:created>
  <dcterms:modified xsi:type="dcterms:W3CDTF">2020-10-28T08:37:00Z</dcterms:modified>
</cp:coreProperties>
</file>