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E96" w:rsidRDefault="00785E96" w:rsidP="00785E96">
      <w:pPr>
        <w:jc w:val="right"/>
        <w:rPr>
          <w:sz w:val="20"/>
        </w:rPr>
      </w:pPr>
      <w:r w:rsidRPr="002E6F9A">
        <w:rPr>
          <w:sz w:val="20"/>
        </w:rPr>
        <w:t xml:space="preserve">Príloha č. </w:t>
      </w:r>
      <w:r>
        <w:rPr>
          <w:sz w:val="20"/>
        </w:rPr>
        <w:t>5</w:t>
      </w:r>
      <w:r w:rsidRPr="002E6F9A">
        <w:rPr>
          <w:sz w:val="20"/>
        </w:rPr>
        <w:t xml:space="preserve"> k súťažným podkladom</w:t>
      </w:r>
    </w:p>
    <w:p w:rsidR="00785E96" w:rsidRDefault="00785E96" w:rsidP="00785E96">
      <w:pPr>
        <w:spacing w:after="120"/>
        <w:jc w:val="center"/>
        <w:rPr>
          <w:sz w:val="22"/>
          <w:szCs w:val="22"/>
        </w:rPr>
      </w:pPr>
    </w:p>
    <w:p w:rsidR="00785E96" w:rsidRDefault="00785E96" w:rsidP="00785E96">
      <w:pPr>
        <w:spacing w:after="120"/>
        <w:jc w:val="center"/>
        <w:rPr>
          <w:sz w:val="22"/>
          <w:szCs w:val="22"/>
        </w:rPr>
      </w:pPr>
    </w:p>
    <w:p w:rsidR="00785E96" w:rsidRDefault="00785E96" w:rsidP="00785E96">
      <w:pPr>
        <w:spacing w:after="120"/>
        <w:jc w:val="center"/>
        <w:rPr>
          <w:sz w:val="22"/>
          <w:szCs w:val="22"/>
        </w:rPr>
      </w:pPr>
      <w:r w:rsidRPr="00C617D5">
        <w:rPr>
          <w:sz w:val="22"/>
          <w:szCs w:val="22"/>
        </w:rPr>
        <w:t xml:space="preserve">JEDNOTNÝ EURÓPSKY DOKUMENT </w:t>
      </w:r>
    </w:p>
    <w:p w:rsidR="00785E96" w:rsidRDefault="00785E96" w:rsidP="00785E96">
      <w:pPr>
        <w:jc w:val="both"/>
      </w:pPr>
      <w:r>
        <w:t>Podľa § 39 ods. 1 zákona o verejnom obstarávaní môže hospodársky subjekt predbežne nahradiť doklady na preukázanie splnenia podmienok účasti Jednotným európskym dokumentom (ďalej len „JED“). Verejný obstarávateľ vyhlasuje, že obmedzuje informácie požadované na podmienky účasti (týkajúce sa časti IV: Podmienky účasti oddiel A až D) na jednu otázku, s odpoveďou áno alebo nie (ALFA: Globálny údaj pre všetky podmienky účasti), t. j. či hospodárske subjekty spĺňajú všetky požadované podmienky účasti, týkajúce sa technickej a odbornej spôsobilosti. Verejný obstarávateľ za účelom zabezpečenia riadneho priebehu verejného obstarávania môže kedykoľvek v jeho priebehu</w:t>
      </w:r>
    </w:p>
    <w:p w:rsidR="00785E96" w:rsidRDefault="00785E96" w:rsidP="00785E96">
      <w:pPr>
        <w:jc w:val="both"/>
      </w:pPr>
      <w:r>
        <w:t>písomne požiadať uchádzača o predloženie dokladu alebo dokladov nahradených JED-</w:t>
      </w:r>
      <w:proofErr w:type="spellStart"/>
      <w:r>
        <w:t>om</w:t>
      </w:r>
      <w:proofErr w:type="spellEnd"/>
      <w:r>
        <w:t xml:space="preserve">. Uchádzač alebo záujemca doručí doklady verejnému obstarávateľovi do 5 pracovných dní odo dňa doručenia žiadosti, ak verejný obstarávateľ neurčil dlhšiu lehotu. Hospodársky subjekt uvedie v JED-e aj ďalšie relevantné informácie podľa požiadaviek verejného obstarávateľa. V prípade, že požadované doklady preukazujúce splnenie podmienok účasti sú pre verejného obstarávateľa priamo a bezodplatne prístupné v elektronických databázach, hospodársky subjekt uvedie v JED-e informácie potrebné na prístup do týchto databáz, najmä internetovú adresu elektronickej databázy, akékoľvek identifikačné údaje a súhlasy potrebné na prístup do tejto databázy. Ak verejný obstarávateľ má k dokladom prístup podľa predchádzajúcej vety, nebude ich od uchádzača vyžadovať a požadované informácie získa na základe prístupu do elektronickej databázy. </w:t>
      </w:r>
      <w:r w:rsidRPr="00D97FAF">
        <w:t xml:space="preserve">Súčasťou tejto prílohy </w:t>
      </w:r>
      <w:r>
        <w:t>je vyplnená Časť I. JED-u (t. j. strana č. 3 Prílohy 2 k Vykonávaciemu nariadeniu Komisie EÚ 2016/7 z 5. januára 2016, ktorým sa ustanovuje štandardný formulár pre jednotný európsky dokument pre obstarávanie) vo formáte .</w:t>
      </w:r>
      <w:proofErr w:type="spellStart"/>
      <w:r>
        <w:t>pdf</w:t>
      </w:r>
      <w:proofErr w:type="spellEnd"/>
      <w:r>
        <w:t>. Verejný obstarávateľ upozorňuje uchádzačov/záujemcov, aby si vzor formulára JED-u vo formáte .</w:t>
      </w:r>
      <w:proofErr w:type="spellStart"/>
      <w:r>
        <w:t>rtf</w:t>
      </w:r>
      <w:proofErr w:type="spellEnd"/>
      <w:r>
        <w:t>, umožňujúci jeho priame vypĺňanie, stiahli z webového sídla Úradu pre verejné obstarávanie a údaje uvedené v prílohe vo formáte .</w:t>
      </w:r>
      <w:proofErr w:type="spellStart"/>
      <w:r>
        <w:t>pdf</w:t>
      </w:r>
      <w:proofErr w:type="spellEnd"/>
      <w:r>
        <w:t xml:space="preserve"> obsahujúce informácie týkajúce sa postupu a identifikácie verejného obstarávateľa, do neho sami preniesli/prepísali. Predmetný formulár vo formáte .</w:t>
      </w:r>
      <w:proofErr w:type="spellStart"/>
      <w:r>
        <w:t>rtf</w:t>
      </w:r>
      <w:proofErr w:type="spellEnd"/>
      <w:r>
        <w:t xml:space="preserve"> je dostupný na adrese: </w:t>
      </w:r>
      <w:hyperlink r:id="rId7" w:history="1">
        <w:r w:rsidRPr="0059758B">
          <w:rPr>
            <w:rStyle w:val="Hypertextovprepojenie"/>
          </w:rPr>
          <w:t>http://www.uvo.gov.sk/legislativametodika-dohlad/jednotny-europsky-dokument-pre-verejne-obstaravanie-553.html</w:t>
        </w:r>
      </w:hyperlink>
      <w:r>
        <w:t xml:space="preserve">. </w:t>
      </w:r>
    </w:p>
    <w:p w:rsidR="00785E96" w:rsidRDefault="00785E96" w:rsidP="00785E96">
      <w:pPr>
        <w:spacing w:after="120"/>
        <w:jc w:val="both"/>
        <w:rPr>
          <w:sz w:val="22"/>
          <w:szCs w:val="22"/>
        </w:rPr>
      </w:pPr>
    </w:p>
    <w:p w:rsidR="00785E96" w:rsidRDefault="00785E96" w:rsidP="00785E96">
      <w:pPr>
        <w:jc w:val="both"/>
      </w:pPr>
    </w:p>
    <w:p w:rsidR="00785E96" w:rsidRDefault="00785E96" w:rsidP="00785E96">
      <w:pPr>
        <w:spacing w:after="120"/>
        <w:jc w:val="both"/>
        <w:rPr>
          <w:sz w:val="22"/>
          <w:szCs w:val="22"/>
        </w:rPr>
      </w:pPr>
    </w:p>
    <w:p w:rsidR="00785E96" w:rsidRDefault="00785E96" w:rsidP="00785E96">
      <w:pPr>
        <w:spacing w:after="120"/>
        <w:jc w:val="center"/>
        <w:rPr>
          <w:sz w:val="22"/>
          <w:szCs w:val="22"/>
        </w:rPr>
      </w:pPr>
    </w:p>
    <w:p w:rsidR="00785E96" w:rsidRDefault="00785E96" w:rsidP="00785E96">
      <w:pPr>
        <w:spacing w:after="120"/>
        <w:jc w:val="center"/>
        <w:rPr>
          <w:sz w:val="22"/>
          <w:szCs w:val="22"/>
        </w:rPr>
      </w:pPr>
    </w:p>
    <w:p w:rsidR="00785E96" w:rsidRDefault="00785E96" w:rsidP="00785E96">
      <w:pPr>
        <w:spacing w:after="120"/>
        <w:jc w:val="center"/>
        <w:rPr>
          <w:sz w:val="22"/>
          <w:szCs w:val="22"/>
        </w:rPr>
      </w:pPr>
    </w:p>
    <w:p w:rsidR="00785E96" w:rsidRDefault="00785E96" w:rsidP="00785E96">
      <w:pPr>
        <w:spacing w:after="120"/>
        <w:jc w:val="center"/>
        <w:rPr>
          <w:sz w:val="22"/>
          <w:szCs w:val="22"/>
        </w:rPr>
      </w:pPr>
    </w:p>
    <w:p w:rsidR="00785E96" w:rsidRDefault="00785E96" w:rsidP="00785E96">
      <w:pPr>
        <w:spacing w:after="120"/>
        <w:jc w:val="center"/>
        <w:rPr>
          <w:sz w:val="22"/>
          <w:szCs w:val="22"/>
        </w:rPr>
      </w:pPr>
    </w:p>
    <w:p w:rsidR="00785E96" w:rsidRDefault="00785E96" w:rsidP="00785E96">
      <w:pPr>
        <w:spacing w:after="120"/>
        <w:jc w:val="center"/>
        <w:rPr>
          <w:sz w:val="22"/>
          <w:szCs w:val="22"/>
        </w:rPr>
      </w:pPr>
    </w:p>
    <w:p w:rsidR="00785E96" w:rsidRDefault="00785E96" w:rsidP="00785E96">
      <w:pPr>
        <w:spacing w:after="120"/>
        <w:jc w:val="center"/>
        <w:rPr>
          <w:sz w:val="22"/>
          <w:szCs w:val="22"/>
        </w:rPr>
      </w:pPr>
    </w:p>
    <w:p w:rsidR="00785E96" w:rsidRDefault="00785E96" w:rsidP="00785E96">
      <w:pPr>
        <w:spacing w:after="120"/>
        <w:jc w:val="center"/>
        <w:rPr>
          <w:sz w:val="22"/>
          <w:szCs w:val="22"/>
        </w:rPr>
      </w:pPr>
    </w:p>
    <w:p w:rsidR="00785E96" w:rsidRDefault="00785E96" w:rsidP="00785E96">
      <w:pPr>
        <w:spacing w:after="120"/>
        <w:jc w:val="center"/>
        <w:rPr>
          <w:sz w:val="22"/>
          <w:szCs w:val="22"/>
        </w:rPr>
      </w:pPr>
    </w:p>
    <w:p w:rsidR="00785E96" w:rsidRDefault="00785E96" w:rsidP="00785E96">
      <w:pPr>
        <w:spacing w:after="120"/>
        <w:jc w:val="center"/>
        <w:rPr>
          <w:sz w:val="22"/>
          <w:szCs w:val="22"/>
        </w:rPr>
      </w:pPr>
    </w:p>
    <w:p w:rsidR="00CB0F28" w:rsidRDefault="00CB0F28" w:rsidP="00785E96">
      <w:pPr>
        <w:spacing w:after="120"/>
        <w:jc w:val="center"/>
        <w:rPr>
          <w:sz w:val="22"/>
          <w:szCs w:val="22"/>
        </w:rPr>
      </w:pPr>
      <w:bookmarkStart w:id="0" w:name="_GoBack"/>
      <w:bookmarkEnd w:id="0"/>
    </w:p>
    <w:p w:rsidR="00785E96" w:rsidRDefault="00785E96" w:rsidP="00785E96">
      <w:pPr>
        <w:spacing w:after="120"/>
        <w:jc w:val="center"/>
        <w:rPr>
          <w:sz w:val="22"/>
          <w:szCs w:val="22"/>
        </w:rPr>
      </w:pPr>
    </w:p>
    <w:p w:rsidR="00785E96" w:rsidRDefault="00785E96" w:rsidP="00785E96">
      <w:pPr>
        <w:spacing w:after="120"/>
        <w:jc w:val="center"/>
        <w:rPr>
          <w:sz w:val="22"/>
          <w:szCs w:val="22"/>
        </w:rPr>
      </w:pPr>
      <w:r w:rsidRPr="00C617D5">
        <w:rPr>
          <w:sz w:val="22"/>
          <w:szCs w:val="22"/>
        </w:rPr>
        <w:lastRenderedPageBreak/>
        <w:t>JEDNOTNÝ EURÓPSKY DOKUMENT – FORMULÁR v.1.00</w:t>
      </w:r>
    </w:p>
    <w:p w:rsidR="00785E96" w:rsidRPr="00C617D5" w:rsidRDefault="00785E96" w:rsidP="00785E96">
      <w:pPr>
        <w:spacing w:after="120"/>
        <w:jc w:val="center"/>
        <w:rPr>
          <w:b/>
          <w:sz w:val="22"/>
          <w:szCs w:val="22"/>
        </w:rPr>
      </w:pPr>
      <w:r w:rsidRPr="00C617D5">
        <w:rPr>
          <w:b/>
          <w:sz w:val="22"/>
          <w:szCs w:val="22"/>
        </w:rPr>
        <w:t>Časť I : Informácie týkajúce sa postupu verejného obstarávania a verejného obstarávateľa alebo obstarávateľa</w:t>
      </w:r>
    </w:p>
    <w:tbl>
      <w:tblPr>
        <w:tblStyle w:val="Mriekatabuky"/>
        <w:tblW w:w="9751" w:type="dxa"/>
        <w:tblLook w:val="04A0" w:firstRow="1" w:lastRow="0" w:firstColumn="1" w:lastColumn="0" w:noHBand="0" w:noVBand="1"/>
      </w:tblPr>
      <w:tblGrid>
        <w:gridCol w:w="9751"/>
      </w:tblGrid>
      <w:tr w:rsidR="00785E96" w:rsidRPr="00C617D5" w:rsidTr="00B44EE6">
        <w:trPr>
          <w:trHeight w:val="3689"/>
        </w:trPr>
        <w:tc>
          <w:tcPr>
            <w:tcW w:w="9751" w:type="dxa"/>
            <w:shd w:val="clear" w:color="auto" w:fill="E7E6E6" w:themeFill="background2"/>
          </w:tcPr>
          <w:p w:rsidR="00785E96" w:rsidRPr="00C617D5" w:rsidRDefault="00785E96" w:rsidP="00B44EE6">
            <w:pPr>
              <w:jc w:val="both"/>
              <w:rPr>
                <w:sz w:val="22"/>
                <w:szCs w:val="22"/>
              </w:rPr>
            </w:pPr>
            <w:r w:rsidRPr="00C617D5">
              <w:rPr>
                <w:sz w:val="22"/>
                <w:szCs w:val="22"/>
              </w:rPr>
              <w:t>V prípade postupov verejného obstarávania, v ktorých bola výzva na súťaž uverejnená v </w:t>
            </w:r>
            <w:r w:rsidRPr="00C617D5">
              <w:rPr>
                <w:i/>
                <w:sz w:val="22"/>
                <w:szCs w:val="22"/>
              </w:rPr>
              <w:t>Úradnom vestníku Európskej únie</w:t>
            </w:r>
            <w:r w:rsidRPr="00C617D5">
              <w:rPr>
                <w:sz w:val="22"/>
                <w:szCs w:val="22"/>
              </w:rPr>
              <w:t>, sa informácie požadované v časti I zobrazia automaticky za predpokladu, že na vytvorenie a vyplnenie jednotného európskeho dokumentu pre obstarávanie sa použije elektronická služba jednotného európskeho dokumentu pre obstarávanie</w:t>
            </w:r>
            <w:r w:rsidRPr="00C617D5">
              <w:rPr>
                <w:sz w:val="22"/>
                <w:szCs w:val="22"/>
                <w:vertAlign w:val="superscript"/>
              </w:rPr>
              <w:footnoteReference w:id="1"/>
            </w:r>
            <w:r w:rsidRPr="00C617D5">
              <w:rPr>
                <w:sz w:val="22"/>
                <w:szCs w:val="22"/>
              </w:rPr>
              <w:t>. Referenčné číslo príslušného oznámenia</w:t>
            </w:r>
            <w:r w:rsidRPr="00C617D5">
              <w:rPr>
                <w:sz w:val="22"/>
                <w:szCs w:val="22"/>
                <w:vertAlign w:val="superscript"/>
              </w:rPr>
              <w:footnoteReference w:id="2"/>
            </w:r>
            <w:r w:rsidRPr="00C617D5">
              <w:rPr>
                <w:sz w:val="22"/>
                <w:szCs w:val="22"/>
              </w:rPr>
              <w:t xml:space="preserve"> uverejneného v Úradnom vestníku Európskej únie :</w:t>
            </w:r>
          </w:p>
          <w:p w:rsidR="00785E96" w:rsidRPr="00C617D5" w:rsidRDefault="00785E96" w:rsidP="00B44EE6">
            <w:pPr>
              <w:jc w:val="both"/>
              <w:rPr>
                <w:sz w:val="22"/>
                <w:szCs w:val="22"/>
              </w:rPr>
            </w:pPr>
          </w:p>
          <w:p w:rsidR="00785E96" w:rsidRPr="00C617D5" w:rsidRDefault="00785E96" w:rsidP="00B44EE6">
            <w:pPr>
              <w:jc w:val="both"/>
              <w:rPr>
                <w:sz w:val="22"/>
                <w:szCs w:val="22"/>
              </w:rPr>
            </w:pPr>
            <w:r w:rsidRPr="00C617D5">
              <w:rPr>
                <w:sz w:val="22"/>
                <w:szCs w:val="22"/>
              </w:rPr>
              <w:t>Ú. v. EÚ S číslo [  ], dátum [  ], strana [  ]</w:t>
            </w:r>
          </w:p>
          <w:p w:rsidR="00785E96" w:rsidRPr="00C617D5" w:rsidRDefault="00785E96" w:rsidP="00B44EE6">
            <w:pPr>
              <w:jc w:val="both"/>
              <w:rPr>
                <w:sz w:val="22"/>
                <w:szCs w:val="22"/>
              </w:rPr>
            </w:pPr>
            <w:r w:rsidRPr="00C617D5">
              <w:rPr>
                <w:sz w:val="22"/>
                <w:szCs w:val="22"/>
              </w:rPr>
              <w:t>Číslo oznámenia v Ú. v. EÚ S : [  ][  ][  ]/S[  ][  ][  ]-[  ][  ][  ][  ][  ][  ][  ]</w:t>
            </w:r>
          </w:p>
          <w:p w:rsidR="00785E96" w:rsidRPr="00C617D5" w:rsidRDefault="00785E96" w:rsidP="00B44EE6">
            <w:pPr>
              <w:jc w:val="both"/>
              <w:rPr>
                <w:sz w:val="22"/>
                <w:szCs w:val="22"/>
              </w:rPr>
            </w:pPr>
            <w:r w:rsidRPr="00C617D5">
              <w:rPr>
                <w:sz w:val="22"/>
                <w:szCs w:val="22"/>
              </w:rPr>
              <w:t>Ak v </w:t>
            </w:r>
            <w:r w:rsidRPr="00C617D5">
              <w:rPr>
                <w:i/>
                <w:sz w:val="22"/>
                <w:szCs w:val="22"/>
              </w:rPr>
              <w:t>Úradnom vestníku Európskej únie</w:t>
            </w:r>
            <w:r w:rsidRPr="00C617D5">
              <w:rPr>
                <w:sz w:val="22"/>
                <w:szCs w:val="22"/>
              </w:rPr>
              <w:t xml:space="preserve"> nebola uverejnená žiadna výzva na súťaž, verejný obstarávateľ alebo obstarávateľ musí vyplniť informácie umožňujúce jednoznačnú identifikáciu postupu verejného obstarávania.</w:t>
            </w:r>
          </w:p>
          <w:p w:rsidR="00785E96" w:rsidRPr="00C617D5" w:rsidRDefault="00785E96" w:rsidP="00B44EE6">
            <w:pPr>
              <w:jc w:val="both"/>
              <w:rPr>
                <w:sz w:val="22"/>
                <w:szCs w:val="22"/>
              </w:rPr>
            </w:pPr>
          </w:p>
          <w:p w:rsidR="00785E96" w:rsidRPr="00C617D5" w:rsidRDefault="00785E96" w:rsidP="00B44EE6">
            <w:pPr>
              <w:jc w:val="both"/>
              <w:rPr>
                <w:sz w:val="22"/>
                <w:szCs w:val="22"/>
              </w:rPr>
            </w:pPr>
            <w:r w:rsidRPr="00C617D5">
              <w:rPr>
                <w:sz w:val="22"/>
                <w:szCs w:val="22"/>
              </w:rPr>
              <w:t>V prípade, keď nie je potrebné uverejnenie oznámenia v </w:t>
            </w:r>
            <w:r w:rsidRPr="00C617D5">
              <w:rPr>
                <w:i/>
                <w:sz w:val="22"/>
                <w:szCs w:val="22"/>
              </w:rPr>
              <w:t>Úradnom vestníku Európskej únie</w:t>
            </w:r>
            <w:r w:rsidRPr="00C617D5">
              <w:rPr>
                <w:sz w:val="22"/>
                <w:szCs w:val="22"/>
              </w:rPr>
              <w:t xml:space="preserve">, uveďte ďalšie informácie umožňujúce jednoznačnú identifikáciu postupu verejného obstarávania (napr. odkaz </w:t>
            </w:r>
            <w:r w:rsidRPr="00C617D5">
              <w:rPr>
                <w:sz w:val="22"/>
                <w:szCs w:val="22"/>
              </w:rPr>
              <w:br/>
              <w:t>na uverejnenie na vnútroštátnej úrovni). [...........]</w:t>
            </w:r>
          </w:p>
        </w:tc>
      </w:tr>
    </w:tbl>
    <w:p w:rsidR="00785E96" w:rsidRPr="00C617D5" w:rsidRDefault="00785E96" w:rsidP="00785E96">
      <w:pPr>
        <w:rPr>
          <w:sz w:val="22"/>
          <w:szCs w:val="22"/>
        </w:rPr>
      </w:pPr>
    </w:p>
    <w:p w:rsidR="00785E96" w:rsidRPr="00C617D5" w:rsidRDefault="00785E96" w:rsidP="00785E96">
      <w:pPr>
        <w:spacing w:after="120"/>
        <w:jc w:val="center"/>
        <w:rPr>
          <w:sz w:val="22"/>
          <w:szCs w:val="22"/>
        </w:rPr>
      </w:pPr>
      <w:r w:rsidRPr="00C617D5">
        <w:rPr>
          <w:sz w:val="22"/>
          <w:szCs w:val="22"/>
        </w:rPr>
        <w:t>INFORMÁCIE O POSTUPE VEREJNÉHO OBSTARÁVANIA</w:t>
      </w:r>
    </w:p>
    <w:tbl>
      <w:tblPr>
        <w:tblStyle w:val="Mriekatabuky"/>
        <w:tblW w:w="9751" w:type="dxa"/>
        <w:tblLook w:val="04A0" w:firstRow="1" w:lastRow="0" w:firstColumn="1" w:lastColumn="0" w:noHBand="0" w:noVBand="1"/>
      </w:tblPr>
      <w:tblGrid>
        <w:gridCol w:w="9751"/>
      </w:tblGrid>
      <w:tr w:rsidR="00785E96" w:rsidRPr="00C617D5" w:rsidTr="00B44EE6">
        <w:trPr>
          <w:trHeight w:val="1182"/>
        </w:trPr>
        <w:tc>
          <w:tcPr>
            <w:tcW w:w="9751" w:type="dxa"/>
            <w:shd w:val="clear" w:color="auto" w:fill="E7E6E6" w:themeFill="background2"/>
          </w:tcPr>
          <w:p w:rsidR="00785E96" w:rsidRPr="00C617D5" w:rsidRDefault="00785E96" w:rsidP="00B44EE6">
            <w:pPr>
              <w:jc w:val="both"/>
              <w:rPr>
                <w:sz w:val="22"/>
                <w:szCs w:val="22"/>
              </w:rPr>
            </w:pPr>
            <w:r w:rsidRPr="00C617D5">
              <w:rPr>
                <w:sz w:val="22"/>
                <w:szCs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785E96" w:rsidRPr="00C617D5" w:rsidRDefault="00785E96" w:rsidP="00785E96">
      <w:pPr>
        <w:rPr>
          <w:sz w:val="22"/>
          <w:szCs w:val="22"/>
        </w:rPr>
      </w:pPr>
    </w:p>
    <w:tbl>
      <w:tblPr>
        <w:tblStyle w:val="Mriekatabuky"/>
        <w:tblW w:w="9740" w:type="dxa"/>
        <w:tblLook w:val="04A0" w:firstRow="1" w:lastRow="0" w:firstColumn="1" w:lastColumn="0" w:noHBand="0" w:noVBand="1"/>
      </w:tblPr>
      <w:tblGrid>
        <w:gridCol w:w="4870"/>
        <w:gridCol w:w="4870"/>
      </w:tblGrid>
      <w:tr w:rsidR="00785E96" w:rsidRPr="00C617D5" w:rsidTr="00B44EE6">
        <w:trPr>
          <w:trHeight w:val="292"/>
        </w:trPr>
        <w:tc>
          <w:tcPr>
            <w:tcW w:w="4870" w:type="dxa"/>
          </w:tcPr>
          <w:p w:rsidR="00785E96" w:rsidRPr="00C617D5" w:rsidRDefault="00785E96" w:rsidP="00B44EE6">
            <w:pPr>
              <w:jc w:val="both"/>
              <w:rPr>
                <w:b/>
                <w:sz w:val="22"/>
                <w:szCs w:val="22"/>
              </w:rPr>
            </w:pPr>
            <w:r w:rsidRPr="00C617D5">
              <w:rPr>
                <w:b/>
                <w:sz w:val="22"/>
                <w:szCs w:val="22"/>
              </w:rPr>
              <w:t>Identifikácia obstarávateľa</w:t>
            </w:r>
            <w:r w:rsidRPr="00C617D5">
              <w:rPr>
                <w:b/>
                <w:sz w:val="22"/>
                <w:szCs w:val="22"/>
                <w:vertAlign w:val="superscript"/>
              </w:rPr>
              <w:footnoteReference w:id="3"/>
            </w:r>
          </w:p>
        </w:tc>
        <w:tc>
          <w:tcPr>
            <w:tcW w:w="4870" w:type="dxa"/>
          </w:tcPr>
          <w:p w:rsidR="00785E96" w:rsidRPr="00C617D5" w:rsidRDefault="00785E96" w:rsidP="00B44EE6">
            <w:pPr>
              <w:rPr>
                <w:b/>
                <w:sz w:val="22"/>
                <w:szCs w:val="22"/>
              </w:rPr>
            </w:pPr>
            <w:r w:rsidRPr="00C617D5">
              <w:rPr>
                <w:b/>
                <w:sz w:val="22"/>
                <w:szCs w:val="22"/>
              </w:rPr>
              <w:t>Odpoveď:</w:t>
            </w:r>
          </w:p>
        </w:tc>
      </w:tr>
      <w:tr w:rsidR="00785E96" w:rsidRPr="00C617D5" w:rsidTr="00B44EE6">
        <w:trPr>
          <w:trHeight w:val="292"/>
        </w:trPr>
        <w:tc>
          <w:tcPr>
            <w:tcW w:w="4870" w:type="dxa"/>
          </w:tcPr>
          <w:p w:rsidR="00785E96" w:rsidRPr="00C617D5" w:rsidRDefault="00785E96" w:rsidP="00B44EE6">
            <w:pPr>
              <w:jc w:val="both"/>
              <w:rPr>
                <w:sz w:val="22"/>
                <w:szCs w:val="22"/>
              </w:rPr>
            </w:pPr>
            <w:r w:rsidRPr="00C617D5">
              <w:rPr>
                <w:sz w:val="22"/>
                <w:szCs w:val="22"/>
              </w:rPr>
              <w:t xml:space="preserve">Názov: </w:t>
            </w:r>
          </w:p>
        </w:tc>
        <w:tc>
          <w:tcPr>
            <w:tcW w:w="4870" w:type="dxa"/>
          </w:tcPr>
          <w:p w:rsidR="00785E96" w:rsidRPr="00C617D5" w:rsidRDefault="00785E96" w:rsidP="00B44EE6">
            <w:pPr>
              <w:rPr>
                <w:sz w:val="22"/>
                <w:szCs w:val="22"/>
              </w:rPr>
            </w:pPr>
            <w:r w:rsidRPr="00C617D5">
              <w:rPr>
                <w:sz w:val="22"/>
                <w:szCs w:val="22"/>
              </w:rPr>
              <w:t>Úrad pre verejné obstarávanie</w:t>
            </w:r>
          </w:p>
        </w:tc>
      </w:tr>
      <w:tr w:rsidR="00785E96" w:rsidRPr="00C617D5" w:rsidTr="00B44EE6">
        <w:trPr>
          <w:trHeight w:val="292"/>
        </w:trPr>
        <w:tc>
          <w:tcPr>
            <w:tcW w:w="4870" w:type="dxa"/>
          </w:tcPr>
          <w:p w:rsidR="00785E96" w:rsidRPr="00C617D5" w:rsidRDefault="00785E96" w:rsidP="00B44EE6">
            <w:pPr>
              <w:jc w:val="both"/>
              <w:rPr>
                <w:b/>
                <w:sz w:val="22"/>
                <w:szCs w:val="22"/>
              </w:rPr>
            </w:pPr>
            <w:r w:rsidRPr="00C617D5">
              <w:rPr>
                <w:b/>
                <w:sz w:val="22"/>
                <w:szCs w:val="22"/>
              </w:rPr>
              <w:t>O aké obstarávanie ide?</w:t>
            </w:r>
          </w:p>
        </w:tc>
        <w:tc>
          <w:tcPr>
            <w:tcW w:w="4870" w:type="dxa"/>
          </w:tcPr>
          <w:p w:rsidR="00785E96" w:rsidRPr="00C617D5" w:rsidRDefault="00785E96" w:rsidP="00B44EE6">
            <w:pPr>
              <w:rPr>
                <w:b/>
                <w:sz w:val="22"/>
                <w:szCs w:val="22"/>
              </w:rPr>
            </w:pPr>
            <w:r w:rsidRPr="00C617D5">
              <w:rPr>
                <w:b/>
                <w:sz w:val="22"/>
                <w:szCs w:val="22"/>
              </w:rPr>
              <w:t>Odpoveď:</w:t>
            </w:r>
          </w:p>
        </w:tc>
      </w:tr>
      <w:tr w:rsidR="00785E96" w:rsidRPr="00C617D5" w:rsidTr="00B44EE6">
        <w:trPr>
          <w:trHeight w:val="292"/>
        </w:trPr>
        <w:tc>
          <w:tcPr>
            <w:tcW w:w="4870" w:type="dxa"/>
          </w:tcPr>
          <w:p w:rsidR="00785E96" w:rsidRPr="00C617D5" w:rsidRDefault="00785E96" w:rsidP="00B44EE6">
            <w:pPr>
              <w:jc w:val="both"/>
              <w:rPr>
                <w:sz w:val="22"/>
                <w:szCs w:val="22"/>
              </w:rPr>
            </w:pPr>
            <w:r w:rsidRPr="00C617D5">
              <w:rPr>
                <w:sz w:val="22"/>
                <w:szCs w:val="22"/>
              </w:rPr>
              <w:t>Názov alebo skrátený opis obstarávania</w:t>
            </w:r>
            <w:r w:rsidRPr="00C617D5">
              <w:rPr>
                <w:sz w:val="22"/>
                <w:szCs w:val="22"/>
                <w:vertAlign w:val="superscript"/>
              </w:rPr>
              <w:footnoteReference w:id="4"/>
            </w:r>
          </w:p>
        </w:tc>
        <w:tc>
          <w:tcPr>
            <w:tcW w:w="4870" w:type="dxa"/>
          </w:tcPr>
          <w:p w:rsidR="00785E96" w:rsidRPr="00C617D5" w:rsidRDefault="00785E96" w:rsidP="00B44EE6">
            <w:pPr>
              <w:rPr>
                <w:sz w:val="22"/>
                <w:szCs w:val="22"/>
              </w:rPr>
            </w:pPr>
            <w:r>
              <w:rPr>
                <w:sz w:val="22"/>
                <w:szCs w:val="22"/>
              </w:rPr>
              <w:t>Zabezpečenie sťahovania a súvisiacich služieb</w:t>
            </w:r>
          </w:p>
        </w:tc>
      </w:tr>
      <w:tr w:rsidR="00785E96" w:rsidRPr="00C617D5" w:rsidTr="00B44EE6">
        <w:trPr>
          <w:trHeight w:val="535"/>
        </w:trPr>
        <w:tc>
          <w:tcPr>
            <w:tcW w:w="4870" w:type="dxa"/>
          </w:tcPr>
          <w:p w:rsidR="00785E96" w:rsidRPr="00C617D5" w:rsidRDefault="00785E96" w:rsidP="00B44EE6">
            <w:pPr>
              <w:jc w:val="both"/>
              <w:rPr>
                <w:sz w:val="22"/>
                <w:szCs w:val="22"/>
              </w:rPr>
            </w:pPr>
            <w:r w:rsidRPr="00C617D5">
              <w:rPr>
                <w:sz w:val="22"/>
                <w:szCs w:val="22"/>
              </w:rPr>
              <w:t>Evidenčné číslo spisu, ktoré pridelil verejný obstarávateľ alebo obstarávateľ (ak sa uplatňuje)</w:t>
            </w:r>
            <w:r w:rsidRPr="00C617D5">
              <w:rPr>
                <w:sz w:val="22"/>
                <w:szCs w:val="22"/>
                <w:vertAlign w:val="superscript"/>
              </w:rPr>
              <w:footnoteReference w:id="5"/>
            </w:r>
            <w:r w:rsidRPr="00C617D5">
              <w:rPr>
                <w:sz w:val="22"/>
                <w:szCs w:val="22"/>
              </w:rPr>
              <w:t>:</w:t>
            </w:r>
          </w:p>
        </w:tc>
        <w:tc>
          <w:tcPr>
            <w:tcW w:w="4870" w:type="dxa"/>
          </w:tcPr>
          <w:p w:rsidR="00785E96" w:rsidRPr="00C617D5" w:rsidRDefault="00785E96" w:rsidP="00B44EE6">
            <w:pPr>
              <w:rPr>
                <w:sz w:val="22"/>
                <w:szCs w:val="22"/>
              </w:rPr>
            </w:pPr>
            <w:r w:rsidRPr="00C617D5">
              <w:rPr>
                <w:sz w:val="22"/>
                <w:szCs w:val="22"/>
              </w:rPr>
              <w:t xml:space="preserve">[  </w:t>
            </w:r>
            <w:r w:rsidRPr="00C617D5">
              <w:rPr>
                <w:rFonts w:asciiTheme="minorBidi" w:hAnsiTheme="minorBidi"/>
                <w:sz w:val="22"/>
                <w:szCs w:val="22"/>
              </w:rPr>
              <w:t>]</w:t>
            </w:r>
          </w:p>
        </w:tc>
      </w:tr>
    </w:tbl>
    <w:p w:rsidR="00785E96" w:rsidRPr="00C617D5" w:rsidRDefault="00785E96" w:rsidP="00785E96">
      <w:pPr>
        <w:rPr>
          <w:sz w:val="22"/>
          <w:szCs w:val="22"/>
        </w:rPr>
      </w:pPr>
    </w:p>
    <w:tbl>
      <w:tblPr>
        <w:tblStyle w:val="Mriekatabuky"/>
        <w:tblW w:w="9751" w:type="dxa"/>
        <w:tblLook w:val="04A0" w:firstRow="1" w:lastRow="0" w:firstColumn="1" w:lastColumn="0" w:noHBand="0" w:noVBand="1"/>
      </w:tblPr>
      <w:tblGrid>
        <w:gridCol w:w="9751"/>
      </w:tblGrid>
      <w:tr w:rsidR="00785E96" w:rsidRPr="00C617D5" w:rsidTr="00B44EE6">
        <w:tc>
          <w:tcPr>
            <w:tcW w:w="9751" w:type="dxa"/>
            <w:shd w:val="clear" w:color="auto" w:fill="E7E6E6" w:themeFill="background2"/>
          </w:tcPr>
          <w:p w:rsidR="00785E96" w:rsidRPr="00C617D5" w:rsidRDefault="00785E96" w:rsidP="00B44EE6">
            <w:pPr>
              <w:jc w:val="both"/>
              <w:rPr>
                <w:sz w:val="22"/>
                <w:szCs w:val="22"/>
              </w:rPr>
            </w:pPr>
            <w:r w:rsidRPr="00C617D5">
              <w:rPr>
                <w:sz w:val="22"/>
                <w:szCs w:val="22"/>
              </w:rPr>
              <w:t>Všetky ostatné informácie vo všetkých oddieloch jednotného európskeho dokumentu pre obstarávanie vypĺňa hospodársky subjekt.</w:t>
            </w:r>
          </w:p>
        </w:tc>
      </w:tr>
    </w:tbl>
    <w:p w:rsidR="0011587D" w:rsidRDefault="0011587D"/>
    <w:sectPr w:rsidR="0011587D" w:rsidSect="00CB0F2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9C8" w:rsidRDefault="007109C8" w:rsidP="00785E96">
      <w:r>
        <w:separator/>
      </w:r>
    </w:p>
  </w:endnote>
  <w:endnote w:type="continuationSeparator" w:id="0">
    <w:p w:rsidR="007109C8" w:rsidRDefault="007109C8" w:rsidP="0078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9C8" w:rsidRDefault="007109C8" w:rsidP="00785E96">
      <w:r>
        <w:separator/>
      </w:r>
    </w:p>
  </w:footnote>
  <w:footnote w:type="continuationSeparator" w:id="0">
    <w:p w:rsidR="007109C8" w:rsidRDefault="007109C8" w:rsidP="00785E96">
      <w:r>
        <w:continuationSeparator/>
      </w:r>
    </w:p>
  </w:footnote>
  <w:footnote w:id="1">
    <w:p w:rsidR="00785E96" w:rsidRPr="00C617D5" w:rsidRDefault="00785E96" w:rsidP="00785E96">
      <w:pPr>
        <w:pStyle w:val="Textpoznmkypodiarou"/>
        <w:jc w:val="both"/>
        <w:rPr>
          <w:lang w:val="sk-SK"/>
        </w:rPr>
      </w:pPr>
      <w:r>
        <w:rPr>
          <w:rStyle w:val="Odkaznapoznmkupodiarou"/>
        </w:rPr>
        <w:footnoteRef/>
      </w:r>
      <w:r>
        <w:t xml:space="preserve"> Útvary </w:t>
      </w:r>
      <w:r w:rsidRPr="00C617D5">
        <w:rPr>
          <w:lang w:val="sk-SK"/>
        </w:rPr>
        <w:t>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785E96" w:rsidRPr="00C617D5" w:rsidRDefault="00785E96" w:rsidP="00785E96">
      <w:pPr>
        <w:pStyle w:val="Textpoznmkypodiarou"/>
        <w:jc w:val="both"/>
        <w:rPr>
          <w:lang w:val="sk-SK"/>
        </w:rPr>
      </w:pPr>
      <w:r w:rsidRPr="00C617D5">
        <w:rPr>
          <w:rStyle w:val="Odkaznapoznmkupodiarou"/>
          <w:lang w:val="sk-SK"/>
        </w:rPr>
        <w:footnoteRef/>
      </w:r>
      <w:r w:rsidRPr="00C617D5">
        <w:rPr>
          <w:lang w:val="sk-SK"/>
        </w:rPr>
        <w:t xml:space="preserve"> </w:t>
      </w:r>
      <w:r w:rsidRPr="00C617D5">
        <w:rPr>
          <w:lang w:val="sk-SK"/>
        </w:rPr>
        <w:t xml:space="preserve">V prípade </w:t>
      </w:r>
      <w:r w:rsidRPr="00C617D5">
        <w:rPr>
          <w:b/>
          <w:lang w:val="sk-SK"/>
        </w:rPr>
        <w:t>verejných obstarávateľov</w:t>
      </w:r>
      <w:r w:rsidRPr="00C617D5">
        <w:rPr>
          <w:lang w:val="sk-SK"/>
        </w:rPr>
        <w:t xml:space="preserve">: buď </w:t>
      </w:r>
      <w:r w:rsidRPr="00C617D5">
        <w:rPr>
          <w:b/>
          <w:lang w:val="sk-SK"/>
        </w:rPr>
        <w:t>predbežné oznámenie</w:t>
      </w:r>
      <w:r w:rsidRPr="00C617D5">
        <w:rPr>
          <w:lang w:val="sk-SK"/>
        </w:rPr>
        <w:t xml:space="preserve"> používané ako prostriedok vyzvania na súťaž, </w:t>
      </w:r>
      <w:r w:rsidRPr="00C617D5">
        <w:rPr>
          <w:b/>
          <w:lang w:val="sk-SK"/>
        </w:rPr>
        <w:t>alebo oznámenie o vyhlásení verejného obstarávania</w:t>
      </w:r>
      <w:r w:rsidRPr="00C617D5">
        <w:rPr>
          <w:lang w:val="sk-SK"/>
        </w:rPr>
        <w:t xml:space="preserve">. V prípade </w:t>
      </w:r>
      <w:r w:rsidRPr="00C617D5">
        <w:rPr>
          <w:b/>
          <w:lang w:val="sk-SK"/>
        </w:rPr>
        <w:t>obstarávateľov</w:t>
      </w:r>
      <w:r w:rsidRPr="00C617D5">
        <w:rPr>
          <w:lang w:val="sk-SK"/>
        </w:rPr>
        <w:t xml:space="preserve"> : </w:t>
      </w:r>
      <w:r w:rsidRPr="00C617D5">
        <w:rPr>
          <w:b/>
          <w:lang w:val="sk-SK"/>
        </w:rPr>
        <w:t>pravidelné informatívne oznámenie</w:t>
      </w:r>
      <w:r w:rsidRPr="00C617D5">
        <w:rPr>
          <w:lang w:val="sk-SK"/>
        </w:rPr>
        <w:t xml:space="preserve"> používané ako prostriedok výzvy na súťaž, </w:t>
      </w:r>
      <w:r w:rsidRPr="00C617D5">
        <w:rPr>
          <w:b/>
          <w:lang w:val="sk-SK"/>
        </w:rPr>
        <w:t>oznámenie o vyhlásení verejného obstarávania alebo oznámenia o existencii kvalifikačného systému.</w:t>
      </w:r>
    </w:p>
  </w:footnote>
  <w:footnote w:id="3">
    <w:p w:rsidR="00785E96" w:rsidRPr="00C617D5" w:rsidRDefault="00785E96" w:rsidP="00785E96">
      <w:pPr>
        <w:pStyle w:val="Textpoznmkypodiarou"/>
        <w:jc w:val="both"/>
        <w:rPr>
          <w:lang w:val="sk-SK"/>
        </w:rPr>
      </w:pPr>
      <w:r w:rsidRPr="00C617D5">
        <w:rPr>
          <w:rStyle w:val="Odkaznapoznmkupodiarou"/>
          <w:lang w:val="sk-SK"/>
        </w:rPr>
        <w:footnoteRef/>
      </w:r>
      <w:r w:rsidRPr="00C617D5">
        <w:rPr>
          <w:i/>
          <w:lang w:val="sk-SK"/>
        </w:rPr>
        <w:t>Informácie, ktoré majú byť prevzaté z oddielu I bod I.1 príslušného oznámenia</w:t>
      </w:r>
      <w:r w:rsidRPr="00C617D5">
        <w:rPr>
          <w:lang w:val="sk-SK"/>
        </w:rPr>
        <w:t>, v prípade spoločného obstarávania uveďte mená všetkých zúčastnených obstarávateľov.</w:t>
      </w:r>
    </w:p>
  </w:footnote>
  <w:footnote w:id="4">
    <w:p w:rsidR="00785E96" w:rsidRPr="00C617D5" w:rsidRDefault="00785E96" w:rsidP="00785E96">
      <w:pPr>
        <w:pStyle w:val="Textpoznmkypodiarou"/>
        <w:jc w:val="both"/>
        <w:rPr>
          <w:lang w:val="sk-SK"/>
        </w:rPr>
      </w:pPr>
      <w:r w:rsidRPr="00C617D5">
        <w:rPr>
          <w:rStyle w:val="Odkaznapoznmkupodiarou"/>
          <w:lang w:val="sk-SK"/>
        </w:rPr>
        <w:footnoteRef/>
      </w:r>
      <w:r w:rsidRPr="00C617D5">
        <w:rPr>
          <w:lang w:val="sk-SK"/>
        </w:rPr>
        <w:t xml:space="preserve"> </w:t>
      </w:r>
      <w:r w:rsidRPr="00C617D5">
        <w:rPr>
          <w:lang w:val="sk-SK"/>
        </w:rPr>
        <w:t>Pozri body II.1.1 a II.1.3 príslušného oznámenia.</w:t>
      </w:r>
    </w:p>
  </w:footnote>
  <w:footnote w:id="5">
    <w:p w:rsidR="00785E96" w:rsidRPr="00C617D5" w:rsidRDefault="00785E96" w:rsidP="00785E96">
      <w:pPr>
        <w:pStyle w:val="Textpoznmkypodiarou"/>
        <w:jc w:val="both"/>
        <w:rPr>
          <w:lang w:val="sk-SK"/>
        </w:rPr>
      </w:pPr>
      <w:r w:rsidRPr="00C617D5">
        <w:rPr>
          <w:rStyle w:val="Odkaznapoznmkupodiarou"/>
          <w:lang w:val="sk-SK"/>
        </w:rPr>
        <w:footnoteRef/>
      </w:r>
      <w:r w:rsidRPr="00C617D5">
        <w:rPr>
          <w:lang w:val="sk-SK"/>
        </w:rPr>
        <w:t xml:space="preserve"> </w:t>
      </w:r>
      <w:r w:rsidRPr="00C617D5">
        <w:rPr>
          <w:lang w:val="sk-SK"/>
        </w:rPr>
        <w:t>Pozri bod II.1.1 príslušného oznámenia.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359BD"/>
    <w:multiLevelType w:val="multilevel"/>
    <w:tmpl w:val="51C44F80"/>
    <w:lvl w:ilvl="0">
      <w:start w:val="1"/>
      <w:numFmt w:val="decimal"/>
      <w:pStyle w:val="Nadpis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6"/>
    <w:rsid w:val="0011587D"/>
    <w:rsid w:val="00321D0A"/>
    <w:rsid w:val="007109C8"/>
    <w:rsid w:val="00785E96"/>
    <w:rsid w:val="007D5879"/>
    <w:rsid w:val="00CB0F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437E4-6CBF-453F-8CA9-DC91553C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5E9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321D0A"/>
    <w:pPr>
      <w:keepNext/>
      <w:keepLines/>
      <w:numPr>
        <w:numId w:val="1"/>
      </w:numPr>
      <w:spacing w:before="480" w:after="200" w:line="276" w:lineRule="auto"/>
      <w:outlineLvl w:val="0"/>
    </w:pPr>
    <w:rPr>
      <w:rFonts w:eastAsiaTheme="majorEastAsia" w:cstheme="majorBidi"/>
      <w:b/>
      <w:bCs/>
      <w:sz w:val="36"/>
      <w:szCs w:val="4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21D0A"/>
    <w:rPr>
      <w:rFonts w:ascii="Times New Roman" w:eastAsiaTheme="majorEastAsia" w:hAnsi="Times New Roman" w:cstheme="majorBidi"/>
      <w:b/>
      <w:bCs/>
      <w:sz w:val="36"/>
      <w:szCs w:val="44"/>
    </w:rPr>
  </w:style>
  <w:style w:type="character" w:styleId="Hypertextovprepojenie">
    <w:name w:val="Hyperlink"/>
    <w:basedOn w:val="Predvolenpsmoodseku"/>
    <w:uiPriority w:val="99"/>
    <w:rsid w:val="00785E96"/>
    <w:rPr>
      <w:color w:val="0000FF"/>
      <w:u w:val="single"/>
    </w:rPr>
  </w:style>
  <w:style w:type="table" w:styleId="Mriekatabuky">
    <w:name w:val="Table Grid"/>
    <w:basedOn w:val="Normlnatabuka"/>
    <w:uiPriority w:val="39"/>
    <w:rsid w:val="00785E96"/>
    <w:pPr>
      <w:spacing w:after="0" w:line="240" w:lineRule="auto"/>
    </w:pPr>
    <w:rPr>
      <w:rFonts w:ascii="Times New Roman" w:eastAsia="Times New Roman" w:hAnsi="Times New Roman" w:cs="Times New Roman"/>
      <w:sz w:val="24"/>
      <w:szCs w:val="24"/>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
    <w:basedOn w:val="Normlny"/>
    <w:link w:val="TextpoznmkypodiarouChar"/>
    <w:uiPriority w:val="99"/>
    <w:rsid w:val="00785E96"/>
    <w:rPr>
      <w:rFonts w:ascii="Times" w:eastAsia="MS Mincho" w:hAnsi="Times"/>
      <w:sz w:val="20"/>
      <w:szCs w:val="20"/>
      <w:lang w:val="cs-CZ" w:eastAsia="en-US"/>
    </w:rPr>
  </w:style>
  <w:style w:type="character" w:customStyle="1" w:styleId="TextpoznmkypodiarouChar">
    <w:name w:val="Text poznámky pod čiarou Char"/>
    <w:aliases w:val="Text poznámky pod čiarou 007 Char"/>
    <w:basedOn w:val="Predvolenpsmoodseku"/>
    <w:link w:val="Textpoznmkypodiarou"/>
    <w:uiPriority w:val="99"/>
    <w:rsid w:val="00785E96"/>
    <w:rPr>
      <w:rFonts w:ascii="Times" w:eastAsia="MS Mincho" w:hAnsi="Times" w:cs="Times New Roman"/>
      <w:sz w:val="20"/>
      <w:szCs w:val="20"/>
      <w:lang w:val="cs-CZ"/>
    </w:rPr>
  </w:style>
  <w:style w:type="character" w:styleId="Odkaznapoznmkupodiarou">
    <w:name w:val="footnote reference"/>
    <w:basedOn w:val="Predvolenpsmoodseku"/>
    <w:uiPriority w:val="99"/>
    <w:semiHidden/>
    <w:unhideWhenUsed/>
    <w:rsid w:val="00785E9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vo.gov.sk/legislativametodika-dohlad/jednotny-europsky-dokument-pre-verejne-obstaravanie-55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3871</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Kudri</dc:creator>
  <cp:keywords/>
  <dc:description/>
  <cp:lastModifiedBy>Martin Kudri</cp:lastModifiedBy>
  <cp:revision>2</cp:revision>
  <dcterms:created xsi:type="dcterms:W3CDTF">2020-10-22T09:59:00Z</dcterms:created>
  <dcterms:modified xsi:type="dcterms:W3CDTF">2020-10-22T10:00:00Z</dcterms:modified>
</cp:coreProperties>
</file>