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3046F7" w:rsidRDefault="00C4075B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Príloha č. 3</w:t>
      </w:r>
      <w:r w:rsidR="003046F7"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súťažných podkladov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val="x-none" w:bidi="ar-SA"/>
        </w:rPr>
        <w:t>Ponuky sa vyhodnocujú na základe kritéria</w:t>
      </w: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bez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0"/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>7</w:t>
      </w:r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ab/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o výzve na predkldanie ponúk,</w:t>
      </w:r>
      <w:r w:rsidRPr="00F755A6">
        <w:rPr>
          <w:rFonts w:ascii="Arial Narrow" w:eastAsia="Calibri" w:hAnsi="Arial Narrow"/>
          <w:sz w:val="22"/>
          <w:szCs w:val="22"/>
        </w:rPr>
        <w:t xml:space="preserve"> tejto časti súťažných podkladoch, </w:t>
      </w:r>
      <w:r w:rsidRPr="00F755A6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7B7B8F" w:rsidRPr="0002413A" w:rsidRDefault="007B7B8F" w:rsidP="007B7B8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Pr="0002413A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dve desatinné miesta.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  <w:r w:rsidRPr="00F755A6">
        <w:rPr>
          <w:rFonts w:ascii="Arial Narrow" w:eastAsia="Calibri" w:hAnsi="Arial Narrow"/>
          <w:sz w:val="22"/>
          <w:szCs w:val="22"/>
        </w:rPr>
        <w:t xml:space="preserve">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viacerých uchádzačov, rozhoduje o poradí ponúk </w:t>
      </w:r>
      <w:r w:rsidRPr="00F755A6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1. najnižšia celková cena vyjadrená v EUR bez DPH, ktorú uchádzač uvedie v rámci položky č. 1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2. najnižšia celková cena vyjadrená v EUR bez DPH, ktorú uchádzač uvedie v rámci položky č. 2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 xml:space="preserve">kontraktačného systému (aktuálna verzia).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podmodule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  <w:t xml:space="preserve">                                                                    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  <w:t xml:space="preserve">                                                                    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>zákazky vyjadrená v EUR bez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>“), ktorých ponuky spĺňajú určené podmienky na predloženie nových Celkových cien za dodanie požadovaného predmetu zákazky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úpravy v elektronickej aukcii budú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predloženú na konkrétnu zákazku zadávanú v rámci dynamického nákupného systému s návrhom zhodnej Celkovej ceny za dodanie požadovaného predmetu zákazky vyjadrenej v EUR bez DPH (na žiadnom mieste v poradí) v rámci elektronickej aukcie.</w:t>
      </w:r>
    </w:p>
    <w:p w:rsidR="00B9110B" w:rsidRDefault="00B9110B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hAnsi="Arial Narrow"/>
          <w:sz w:val="22"/>
          <w:szCs w:val="22"/>
        </w:rPr>
      </w:pPr>
    </w:p>
    <w:p w:rsidR="007B7B8F" w:rsidRPr="00F755A6" w:rsidRDefault="007B7B8F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Celkovej ceny </w:t>
      </w:r>
      <w:r w:rsidRPr="00F755A6">
        <w:rPr>
          <w:rFonts w:ascii="Arial Narrow" w:eastAsia="Calibri" w:hAnsi="Arial Narrow"/>
          <w:sz w:val="22"/>
          <w:szCs w:val="22"/>
        </w:rPr>
        <w:t>za dodanie požadovaného predmetu zákazky</w:t>
      </w:r>
      <w:r w:rsidRPr="00F755A6">
        <w:rPr>
          <w:rFonts w:ascii="Arial Narrow" w:hAnsi="Arial Narrow"/>
          <w:sz w:val="22"/>
          <w:szCs w:val="22"/>
        </w:rPr>
        <w:t xml:space="preserve"> vyjadrenej v EUR bez DPH v rámci elektronickej aukcie je v hodnote 0,xx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Elektronická aukcia bude trvať 20 minút, s opakovanou možnosťou predĺženia o 2 minúty. Ak účastník ponúkne novú Celkovú cenu za dodanie požadovaného predmetu zákazky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za dodanie požadovaného predmetu zákazky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ak nedostane žiadne ďalšie nové Celkové ceny za dodanie požadovaného predmetu zákazky vyjadrené 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Po ukončení elektronickej aukcii už nebude možné upravovať Celkové ceny za dodanie požadovaného predmetu zákazky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F755A6">
        <w:rPr>
          <w:rFonts w:ascii="Arial Narrow" w:hAnsi="Arial Narrow"/>
          <w:sz w:val="22"/>
          <w:szCs w:val="22"/>
        </w:rPr>
        <w:t>Mozilla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755A6">
        <w:rPr>
          <w:rFonts w:ascii="Arial Narrow" w:hAnsi="Arial Narrow"/>
          <w:sz w:val="22"/>
          <w:szCs w:val="22"/>
        </w:rPr>
        <w:t>Firefox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Google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755A6">
        <w:rPr>
          <w:rFonts w:ascii="Arial Narrow" w:hAnsi="Arial Narrow"/>
          <w:sz w:val="22"/>
          <w:szCs w:val="22"/>
        </w:rPr>
        <w:t>Chrome</w:t>
      </w:r>
      <w:proofErr w:type="spellEnd"/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F755A6">
        <w:rPr>
          <w:rFonts w:ascii="Arial Narrow" w:hAnsi="Arial Narrow"/>
          <w:sz w:val="22"/>
          <w:szCs w:val="22"/>
        </w:rPr>
        <w:t>javascript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F755A6">
        <w:rPr>
          <w:rFonts w:ascii="Arial Narrow" w:hAnsi="Arial Narrow"/>
          <w:sz w:val="22"/>
          <w:szCs w:val="22"/>
        </w:rPr>
        <w:t>cookies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F755A6">
        <w:rPr>
          <w:rFonts w:ascii="Arial Narrow" w:hAnsi="Arial Narrow"/>
          <w:sz w:val="22"/>
          <w:szCs w:val="22"/>
        </w:rPr>
        <w:t>plug-in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add-on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F755A6">
        <w:rPr>
          <w:rFonts w:ascii="Arial Narrow" w:hAnsi="Arial Narrow"/>
          <w:sz w:val="22"/>
          <w:szCs w:val="22"/>
        </w:rPr>
        <w:t>headers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F755A6">
        <w:rPr>
          <w:rFonts w:ascii="Arial Narrow" w:hAnsi="Arial Narrow"/>
          <w:sz w:val="22"/>
          <w:szCs w:val="22"/>
        </w:rPr>
        <w:t>malware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755A6">
        <w:rPr>
          <w:rFonts w:ascii="Arial Narrow" w:hAnsi="Arial Narrow"/>
          <w:sz w:val="22"/>
          <w:szCs w:val="22"/>
        </w:rPr>
        <w:t>spyware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F755A6">
        <w:rPr>
          <w:rFonts w:ascii="Arial Narrow" w:hAnsi="Arial Narrow"/>
          <w:sz w:val="22"/>
          <w:szCs w:val="22"/>
        </w:rPr>
        <w:t>ssl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FF" w:rsidRDefault="005979FF">
      <w:r>
        <w:separator/>
      </w:r>
    </w:p>
  </w:endnote>
  <w:endnote w:type="continuationSeparator" w:id="0">
    <w:p w:rsidR="005979FF" w:rsidRDefault="0059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C1" w:rsidRDefault="00567DC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F65080" w:rsidRDefault="00B9110B" w:rsidP="00F65080">
    <w:pPr>
      <w:widowControl/>
      <w:tabs>
        <w:tab w:val="center" w:pos="8460"/>
        <w:tab w:val="right" w:pos="10080"/>
      </w:tabs>
      <w:rPr>
        <w:rFonts w:ascii="Arial" w:eastAsia="Times New Roman" w:hAnsi="Arial" w:cs="Arial"/>
        <w:noProof/>
        <w:sz w:val="18"/>
        <w:szCs w:val="18"/>
        <w:lang w:bidi="ar-SA"/>
      </w:rPr>
    </w:pPr>
    <w:r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</w:t>
    </w:r>
    <w:r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Súťažné podklady  „</w:t>
    </w:r>
    <w:bookmarkStart w:id="1" w:name="_GoBack"/>
    <w:r w:rsidR="00567DC1" w:rsidRPr="00567DC1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Základ</w:t>
    </w:r>
    <w:bookmarkEnd w:id="1"/>
    <w:r w:rsidR="00567DC1" w:rsidRPr="00567DC1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né potraviny, mrazené a mliečne </w:t>
    </w:r>
    <w:proofErr w:type="spellStart"/>
    <w:r w:rsidR="00567DC1" w:rsidRPr="00567DC1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výrobky_DNS</w:t>
    </w:r>
    <w:proofErr w:type="spellEnd"/>
    <w:r w:rsidR="00F65080" w:rsidRPr="00567DC1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“</w:t>
    </w:r>
    <w:r w:rsidR="00F65080"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="00F65080"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567DC1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3</w:t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567DC1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4</w:t>
    </w:r>
    <w:r w:rsidR="00F65080"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C1" w:rsidRDefault="00567D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FF" w:rsidRDefault="005979FF"/>
  </w:footnote>
  <w:footnote w:type="continuationSeparator" w:id="0">
    <w:p w:rsidR="005979FF" w:rsidRDefault="005979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C1" w:rsidRDefault="00567D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AE9DA2" wp14:editId="28E2395A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C1" w:rsidRDefault="00567D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02413A"/>
    <w:rsid w:val="00073F47"/>
    <w:rsid w:val="001831B0"/>
    <w:rsid w:val="00211B67"/>
    <w:rsid w:val="00213F07"/>
    <w:rsid w:val="00262631"/>
    <w:rsid w:val="002E633F"/>
    <w:rsid w:val="00302D50"/>
    <w:rsid w:val="003046F7"/>
    <w:rsid w:val="0038338F"/>
    <w:rsid w:val="004E7F20"/>
    <w:rsid w:val="00567DC1"/>
    <w:rsid w:val="005979FF"/>
    <w:rsid w:val="007B7B8F"/>
    <w:rsid w:val="007C7217"/>
    <w:rsid w:val="00826B9C"/>
    <w:rsid w:val="008411B7"/>
    <w:rsid w:val="0085499B"/>
    <w:rsid w:val="008A3AB1"/>
    <w:rsid w:val="009C403C"/>
    <w:rsid w:val="00AB6E8C"/>
    <w:rsid w:val="00B10DEC"/>
    <w:rsid w:val="00B306A1"/>
    <w:rsid w:val="00B9110B"/>
    <w:rsid w:val="00B97A5F"/>
    <w:rsid w:val="00C4075B"/>
    <w:rsid w:val="00C522E3"/>
    <w:rsid w:val="00ED76E3"/>
    <w:rsid w:val="00F44868"/>
    <w:rsid w:val="00F64EDF"/>
    <w:rsid w:val="00F65080"/>
    <w:rsid w:val="00F755A6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7</cp:revision>
  <dcterms:created xsi:type="dcterms:W3CDTF">2019-05-16T11:37:00Z</dcterms:created>
  <dcterms:modified xsi:type="dcterms:W3CDTF">2019-05-24T12:11:00Z</dcterms:modified>
</cp:coreProperties>
</file>