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:rsidR="00D11242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>
        <w:rPr>
          <w:rFonts w:ascii="Arial Narrow" w:hAnsi="Arial Narrow"/>
          <w:lang w:val="sk-SK"/>
        </w:rPr>
        <w:t xml:space="preserve"> na vyhodnotenie ponúk, pravidlá </w:t>
      </w:r>
    </w:p>
    <w:p w:rsidR="00D11242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uplatňovania kritéria na vyhodnotenie </w:t>
      </w:r>
    </w:p>
    <w:p w:rsidR="00D11242" w:rsidRPr="00F42FB1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ponúk a pravidlá elektronickej aukcie</w:t>
      </w:r>
    </w:p>
    <w:p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VYHODNOTENIE PONÚK </w:t>
      </w:r>
    </w:p>
    <w:p w:rsidR="00B615A4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 w:after="12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A PRAVIDLÁ  ELEKTRONICKEJ  AUKCIE</w:t>
      </w:r>
    </w:p>
    <w:p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385F98" w:rsidRPr="00385F98">
        <w:rPr>
          <w:rFonts w:ascii="Arial Narrow" w:eastAsia="Calibri" w:hAnsi="Arial Narrow"/>
          <w:b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385F98" w:rsidRDefault="004F0D42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za druhú, ponuku s tretou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</w:t>
      </w:r>
      <w:r w:rsidR="00DD5FE3"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r w:rsidR="00DD5FE3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DD5FE3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DD5FE3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DD5FE3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t.j. rovnakej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 xml:space="preserve">maximálnej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celkovej ceny viacerých uchádzačov, rozhoduje 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podľa nižšie uvedeného poradia:</w:t>
      </w:r>
    </w:p>
    <w:p w:rsidR="00165614" w:rsidRPr="00447EC7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1. najnižšia </w:t>
      </w:r>
      <w:r w:rsidR="009E418A"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celková cena vyjadrená v EUR bez DPH, ktorú uchádzač uvedie v rámci položky </w:t>
      </w:r>
      <w:r w:rsidRPr="00FD3F48">
        <w:rPr>
          <w:rFonts w:ascii="Arial Narrow" w:eastAsia="Calibri" w:hAnsi="Arial Narrow"/>
          <w:sz w:val="22"/>
          <w:szCs w:val="22"/>
          <w:lang w:eastAsia="sk-SK"/>
        </w:rPr>
        <w:t xml:space="preserve">č. </w:t>
      </w:r>
      <w:r w:rsidR="00DD5FE3">
        <w:rPr>
          <w:rFonts w:ascii="Arial Narrow" w:eastAsia="Calibri" w:hAnsi="Arial Narrow"/>
          <w:sz w:val="22"/>
          <w:szCs w:val="22"/>
          <w:lang w:eastAsia="sk-SK"/>
        </w:rPr>
        <w:t>6</w:t>
      </w:r>
      <w:r w:rsidR="009E418A" w:rsidRPr="00FD3F48">
        <w:rPr>
          <w:rFonts w:ascii="Arial Narrow" w:eastAsia="Calibri" w:hAnsi="Arial Narrow"/>
          <w:sz w:val="22"/>
          <w:szCs w:val="22"/>
          <w:lang w:eastAsia="sk-SK"/>
        </w:rPr>
        <w:t>.</w:t>
      </w:r>
      <w:r w:rsidR="009E418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D5FE3" w:rsidRPr="00DD5FE3">
        <w:rPr>
          <w:rFonts w:ascii="Arial Narrow" w:eastAsia="Calibri" w:hAnsi="Arial Narrow"/>
          <w:b/>
          <w:sz w:val="22"/>
          <w:szCs w:val="22"/>
          <w:lang w:eastAsia="sk-SK"/>
        </w:rPr>
        <w:t>P</w:t>
      </w:r>
      <w:r w:rsidR="00DD5FE3">
        <w:rPr>
          <w:rFonts w:ascii="Arial Narrow" w:hAnsi="Arial Narrow"/>
          <w:b/>
          <w:color w:val="000000"/>
          <w:sz w:val="22"/>
          <w:szCs w:val="22"/>
        </w:rPr>
        <w:t>olokošeľa dlhé rukávy zelená</w:t>
      </w:r>
    </w:p>
    <w:p w:rsidR="00165614" w:rsidRPr="00DD5FE3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2. najnižšia </w:t>
      </w:r>
      <w:r w:rsidR="00623ED4"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celková cena vyjadrená v EUR bez DPH, ktorú uchádzač uvedie v rámci položky č. </w:t>
      </w:r>
      <w:r w:rsidR="00FD3F48">
        <w:rPr>
          <w:rFonts w:ascii="Arial Narrow" w:eastAsia="Calibri" w:hAnsi="Arial Narrow"/>
          <w:sz w:val="22"/>
          <w:szCs w:val="22"/>
          <w:lang w:eastAsia="sk-SK"/>
        </w:rPr>
        <w:t>3</w:t>
      </w:r>
      <w:r w:rsidR="00623ED4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DD5FE3" w:rsidRPr="00DD5FE3">
        <w:rPr>
          <w:rFonts w:ascii="Arial Narrow" w:hAnsi="Arial Narrow"/>
          <w:b/>
          <w:sz w:val="22"/>
          <w:szCs w:val="22"/>
        </w:rPr>
        <w:t>Polokošeľa krátke rukávy zelená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Podmodul elektronická aukcia je priama súčasť systému EKS a umožňuje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:rsidR="00165614" w:rsidRPr="00385F98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odmodul EKS v </w:t>
      </w:r>
      <w:r w:rsidR="00165614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385F98" w:rsidRDefault="00165614" w:rsidP="00894EB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165614" w:rsidRPr="00385F98" w:rsidRDefault="00165614" w:rsidP="00894EB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385F98" w:rsidRDefault="00165614" w:rsidP="00894EB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účastníci elektronickej aukcie – ako účastníci elektronickej aukcie sú zaevidovaní tí 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:rsidR="00165614" w:rsidRPr="00385F98" w:rsidRDefault="00165614" w:rsidP="00894EB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D81FF7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elková  cena za požadovan</w:t>
      </w:r>
      <w:r w:rsidR="0053338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predmet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zákazky vyjadrená v EUR bez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jednotkové ceny v EUR bez</w:t>
      </w:r>
      <w:r w:rsidRPr="00385F98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385F98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položiek, ktoré tvoria </w:t>
      </w:r>
      <w:r w:rsidR="00F4183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maximálnu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celkovú cenu za </w:t>
      </w:r>
      <w:r w:rsidR="002B727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požadovaný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predmet zákazky </w:t>
      </w:r>
      <w:r w:rsidR="00321E40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</w:t>
      </w:r>
      <w:r w:rsidR="002B727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</w:t>
      </w:r>
      <w:r w:rsidR="00321E40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="00321E40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4C75D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:rsidR="00165614" w:rsidRPr="00385F98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„účastník/ov“), ktorých ponuky spĺňajú určené podmienky na predloženie nových </w:t>
      </w:r>
      <w:r w:rsidR="004C75D4" w:rsidRPr="00385F98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385F98" w:rsidRDefault="00165614" w:rsidP="00894EB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385F98" w:rsidRDefault="00165614" w:rsidP="00894EB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385F98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385F98" w:rsidRDefault="00165614" w:rsidP="00894EB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385F98" w:rsidRDefault="00165614" w:rsidP="00894EB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385F98" w:rsidRDefault="00165614" w:rsidP="00894EB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58467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ceny vyjadrené v EUR bez DPH. </w:t>
      </w:r>
      <w:r w:rsidR="009A670A" w:rsidRPr="00385F98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ceny vyjadrené v</w:t>
      </w:r>
      <w:r w:rsidR="009A670A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584679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</w:t>
      </w:r>
      <w:r w:rsidR="00F4183A">
        <w:rPr>
          <w:rFonts w:ascii="Arial Narrow" w:eastAsia="Calibri" w:hAnsi="Arial Narrow"/>
          <w:sz w:val="22"/>
          <w:szCs w:val="22"/>
          <w:lang w:eastAsia="sk-SK"/>
        </w:rPr>
        <w:t xml:space="preserve">maximálnu </w:t>
      </w:r>
      <w:r w:rsidR="008B5634" w:rsidRPr="00584679">
        <w:rPr>
          <w:rFonts w:ascii="Arial Narrow" w:eastAsia="Calibri" w:hAnsi="Arial Narrow"/>
          <w:sz w:val="22"/>
          <w:szCs w:val="22"/>
          <w:lang w:eastAsia="sk-SK"/>
        </w:rPr>
        <w:t xml:space="preserve">celkovú cenu bez DPH vyjadrenú v EUR iného uchádzača </w:t>
      </w:r>
      <w:r w:rsidR="000A0E9C" w:rsidRPr="00584679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</w:p>
    <w:p w:rsidR="006B612D" w:rsidRPr="00385F98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385F98">
        <w:rPr>
          <w:rFonts w:ascii="Arial Narrow" w:hAnsi="Arial Narrow"/>
          <w:sz w:val="22"/>
          <w:szCs w:val="22"/>
        </w:rPr>
        <w:t xml:space="preserve">Minimálny krok úpravy ponuky v prípade nového návrhu jednotkovej ceny vyjadrenej v EUR bez DPH v rámci elektronickej aukcie </w:t>
      </w:r>
      <w:r w:rsidRPr="00584EE2">
        <w:rPr>
          <w:rFonts w:ascii="Arial Narrow" w:hAnsi="Arial Narrow"/>
          <w:sz w:val="22"/>
          <w:szCs w:val="22"/>
          <w:u w:val="single"/>
        </w:rPr>
        <w:t xml:space="preserve">je v hodnote </w:t>
      </w:r>
      <w:r w:rsidR="00E10EE9" w:rsidRPr="00584EE2">
        <w:rPr>
          <w:rFonts w:ascii="Arial Narrow" w:hAnsi="Arial Narrow"/>
          <w:sz w:val="22"/>
          <w:szCs w:val="22"/>
          <w:u w:val="single"/>
        </w:rPr>
        <w:t>1</w:t>
      </w:r>
      <w:r w:rsidRPr="00584EE2">
        <w:rPr>
          <w:rFonts w:ascii="Arial Narrow" w:hAnsi="Arial Narrow"/>
          <w:sz w:val="22"/>
          <w:szCs w:val="22"/>
          <w:u w:val="single"/>
        </w:rPr>
        <w:t>,</w:t>
      </w:r>
      <w:r w:rsidR="00E10EE9" w:rsidRPr="00584EE2">
        <w:rPr>
          <w:rFonts w:ascii="Arial Narrow" w:hAnsi="Arial Narrow"/>
          <w:sz w:val="22"/>
          <w:szCs w:val="22"/>
          <w:u w:val="single"/>
        </w:rPr>
        <w:t>00</w:t>
      </w:r>
      <w:r w:rsidRPr="00584EE2">
        <w:rPr>
          <w:rFonts w:ascii="Arial Narrow" w:hAnsi="Arial Narrow"/>
          <w:sz w:val="22"/>
          <w:szCs w:val="22"/>
          <w:u w:val="single"/>
        </w:rPr>
        <w:t xml:space="preserve"> </w:t>
      </w:r>
      <w:r w:rsidR="00E10EE9" w:rsidRPr="00584EE2">
        <w:rPr>
          <w:rFonts w:ascii="Arial Narrow" w:hAnsi="Arial Narrow"/>
          <w:sz w:val="22"/>
          <w:szCs w:val="22"/>
          <w:u w:val="single"/>
        </w:rPr>
        <w:t>EUR bez DPH</w:t>
      </w:r>
      <w:r w:rsidRPr="00584EE2">
        <w:rPr>
          <w:rFonts w:ascii="Arial Narrow" w:hAnsi="Arial Narrow"/>
          <w:sz w:val="22"/>
          <w:szCs w:val="22"/>
          <w:u w:val="single"/>
        </w:rPr>
        <w:t>.</w:t>
      </w:r>
    </w:p>
    <w:p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584EE2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predložených ponúk zákazky, sa po prihlásení do systému EKS zobrazí hypertextový odkaz na aukčnú sieň vo vernom detaile predmetnej </w:t>
      </w:r>
      <w:r w:rsidRPr="00584EE2">
        <w:rPr>
          <w:rFonts w:ascii="Arial Narrow" w:eastAsia="Calibri" w:hAnsi="Arial Narrow"/>
          <w:sz w:val="22"/>
          <w:szCs w:val="22"/>
          <w:lang w:eastAsia="sk-SK"/>
        </w:rPr>
        <w:t>zákazky, a to min. 15 minút pred začiatkom elektronickej aukcie. V tomto časovom limite si môžu  účastníci elektronickej aukcie skontrolovať svoju vstupnú cenu</w:t>
      </w:r>
      <w:r w:rsidR="004F0513" w:rsidRPr="00584EE2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584EE2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84EE2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894EB1" w:rsidRDefault="00894EB1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Prístup do aukčnej siene verejnosti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385F98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385F98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CB5807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ktoré </w:t>
      </w:r>
      <w:r w:rsidRPr="00CB5807">
        <w:rPr>
          <w:rFonts w:ascii="Arial Narrow" w:eastAsia="Calibri" w:hAnsi="Arial Narrow"/>
          <w:sz w:val="22"/>
          <w:szCs w:val="22"/>
          <w:lang w:eastAsia="sk-SK"/>
        </w:rPr>
        <w:t>boli predmetom elektronickej aukcii.</w:t>
      </w:r>
    </w:p>
    <w:p w:rsidR="00584EE2" w:rsidRPr="00CB5807" w:rsidRDefault="00584EE2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5807">
        <w:rPr>
          <w:rFonts w:ascii="Arial Narrow" w:eastAsia="Calibri" w:hAnsi="Arial Narrow"/>
          <w:sz w:val="22"/>
          <w:szCs w:val="22"/>
          <w:lang w:eastAsia="sk-SK"/>
        </w:rPr>
        <w:t xml:space="preserve">Po skončení elektronickej aukcie  budú účastníci vyzvaní, aby aktualizovali štruktúrovaný rozpočet ceny predmetu zákazky a to tak, že súčet súčinov jednotkových cien jednotlivých položiek a dopytovaného (predpokladaného) množstva musí zodpovedať celkovej výslednej cene ponúkanej v elektronickej aukcii s tým, že </w:t>
      </w:r>
      <w:r w:rsidRPr="00CB5807">
        <w:rPr>
          <w:rFonts w:ascii="Arial Narrow" w:eastAsia="Calibri" w:hAnsi="Arial Narrow"/>
          <w:b/>
          <w:bCs/>
          <w:sz w:val="22"/>
          <w:szCs w:val="22"/>
          <w:u w:val="single"/>
          <w:lang w:eastAsia="sk-SK"/>
        </w:rPr>
        <w:t>žiadna z jednotkových cien nesmie byť nulová, ani vyššia</w:t>
      </w:r>
      <w:r w:rsidRPr="00CB5807">
        <w:rPr>
          <w:rFonts w:ascii="Arial Narrow" w:eastAsia="Calibri" w:hAnsi="Arial Narrow"/>
          <w:sz w:val="22"/>
          <w:szCs w:val="22"/>
          <w:lang w:eastAsia="sk-SK"/>
        </w:rPr>
        <w:t xml:space="preserve"> než bola cena určená pre úvodné úplné vyhodnotenie ponúk pred elektronickou aukciou a uvedená uchádzačom v ponuke v predloženom ocenenom štruktúrovanom rozpočte ceny rámcovej dohody podľa týchto súťažných podkladov. </w:t>
      </w:r>
    </w:p>
    <w:p w:rsidR="00165614" w:rsidRPr="00385F98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5807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CB5807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CB5807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CB5807">
        <w:rPr>
          <w:rFonts w:ascii="Arial Narrow" w:hAnsi="Arial Narrow"/>
          <w:sz w:val="22"/>
          <w:szCs w:val="22"/>
          <w:lang w:eastAsia="sk-SK"/>
        </w:rPr>
        <w:t>ť</w:t>
      </w:r>
      <w:r w:rsidRPr="00CB5807">
        <w:rPr>
          <w:rFonts w:ascii="Arial Narrow" w:hAnsi="Arial Narrow"/>
          <w:sz w:val="22"/>
          <w:szCs w:val="22"/>
          <w:lang w:eastAsia="sk-SK"/>
        </w:rPr>
        <w:t xml:space="preserve"> elektronickú aukciu</w:t>
      </w:r>
      <w:r w:rsidRPr="0053338C">
        <w:rPr>
          <w:rFonts w:ascii="Arial Narrow" w:hAnsi="Arial Narrow"/>
          <w:sz w:val="22"/>
          <w:szCs w:val="22"/>
          <w:lang w:eastAsia="sk-SK"/>
        </w:rPr>
        <w:t>, ak by sa aukcie zúčastnil len jeden účastník.</w:t>
      </w:r>
    </w:p>
    <w:p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  <w:bookmarkStart w:id="0" w:name="_GoBack"/>
      <w:bookmarkEnd w:id="0"/>
    </w:p>
    <w:p w:rsidR="007E1790" w:rsidRPr="00385F98" w:rsidRDefault="00165614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="007E1790" w:rsidRPr="00385F98">
        <w:rPr>
          <w:rFonts w:ascii="Arial Narrow" w:hAnsi="Arial Narrow"/>
          <w:sz w:val="22"/>
        </w:rPr>
        <w:t>Aktuálne verzie prehliadačov: Internet Explorer, Mozilla Firefox, Google Chrome.</w:t>
      </w:r>
    </w:p>
    <w:p w:rsidR="007E1790" w:rsidRPr="00385F98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so zapnutým javascript a cookies,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(plug-in, add-on) ktoré modifikujú vykonávanie a renderovanie aplikácie alebo zasahujú do http headers,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počítač pripojený k sieti Internet bez blokovania alebo modifikovania http protokolu s terminovaním ssl spojenia na klientovi,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:rsidR="00165614" w:rsidRPr="00385F98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165614" w:rsidRPr="002F0FCC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09C" w:rsidRDefault="0069109C" w:rsidP="007C6581">
      <w:r>
        <w:separator/>
      </w:r>
    </w:p>
  </w:endnote>
  <w:endnote w:type="continuationSeparator" w:id="0">
    <w:p w:rsidR="0069109C" w:rsidRDefault="0069109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09C" w:rsidRDefault="0069109C" w:rsidP="007C6581">
      <w:r>
        <w:separator/>
      </w:r>
    </w:p>
  </w:footnote>
  <w:footnote w:type="continuationSeparator" w:id="0">
    <w:p w:rsidR="0069109C" w:rsidRDefault="0069109C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43955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164D"/>
    <w:rsid w:val="00165614"/>
    <w:rsid w:val="00173AE1"/>
    <w:rsid w:val="0018346E"/>
    <w:rsid w:val="001918A0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222D88"/>
    <w:rsid w:val="00227A67"/>
    <w:rsid w:val="00246301"/>
    <w:rsid w:val="00297E6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84EE2"/>
    <w:rsid w:val="005A2B51"/>
    <w:rsid w:val="005C0737"/>
    <w:rsid w:val="005E16CA"/>
    <w:rsid w:val="005E2CF1"/>
    <w:rsid w:val="005F47CD"/>
    <w:rsid w:val="00623ED4"/>
    <w:rsid w:val="00625253"/>
    <w:rsid w:val="0064052F"/>
    <w:rsid w:val="00662949"/>
    <w:rsid w:val="00667B85"/>
    <w:rsid w:val="0069109C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44D0"/>
    <w:rsid w:val="00B46D5D"/>
    <w:rsid w:val="00B5271E"/>
    <w:rsid w:val="00B53A7D"/>
    <w:rsid w:val="00B615A4"/>
    <w:rsid w:val="00B67DB4"/>
    <w:rsid w:val="00B726FB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5807"/>
    <w:rsid w:val="00CD3C28"/>
    <w:rsid w:val="00CD6C8F"/>
    <w:rsid w:val="00CD6DDF"/>
    <w:rsid w:val="00CF2525"/>
    <w:rsid w:val="00D02F5E"/>
    <w:rsid w:val="00D03578"/>
    <w:rsid w:val="00D11242"/>
    <w:rsid w:val="00D21D4B"/>
    <w:rsid w:val="00D26182"/>
    <w:rsid w:val="00D350AC"/>
    <w:rsid w:val="00D44EF1"/>
    <w:rsid w:val="00D5042F"/>
    <w:rsid w:val="00D523D3"/>
    <w:rsid w:val="00D81FF7"/>
    <w:rsid w:val="00DB4700"/>
    <w:rsid w:val="00DB7A73"/>
    <w:rsid w:val="00DC3ACA"/>
    <w:rsid w:val="00DD251E"/>
    <w:rsid w:val="00DD5FE3"/>
    <w:rsid w:val="00DE38D8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EF6A71"/>
    <w:rsid w:val="00F01372"/>
    <w:rsid w:val="00F133FF"/>
    <w:rsid w:val="00F13BDE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62B0"/>
    <w:rsid w:val="00F724F1"/>
    <w:rsid w:val="00F7635B"/>
    <w:rsid w:val="00F953DC"/>
    <w:rsid w:val="00FA2F74"/>
    <w:rsid w:val="00FB2CC8"/>
    <w:rsid w:val="00FB6BA4"/>
    <w:rsid w:val="00FD03B0"/>
    <w:rsid w:val="00FD3F48"/>
    <w:rsid w:val="00FE309D"/>
    <w:rsid w:val="00FE3AA9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Škvarka</cp:lastModifiedBy>
  <cp:revision>2</cp:revision>
  <dcterms:created xsi:type="dcterms:W3CDTF">2019-03-01T09:30:00Z</dcterms:created>
  <dcterms:modified xsi:type="dcterms:W3CDTF">2019-03-01T09:30:00Z</dcterms:modified>
</cp:coreProperties>
</file>