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CBC0F" w14:textId="524E89DB" w:rsidR="00395AB9" w:rsidRPr="009171C6" w:rsidRDefault="00395AB9" w:rsidP="00395AB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14:paraId="2E075A6D" w14:textId="77777777" w:rsidR="00395AB9" w:rsidRDefault="00395AB9" w:rsidP="00395AB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14:paraId="6B24CC4E" w14:textId="77777777" w:rsidR="00395AB9" w:rsidRPr="009171C6" w:rsidRDefault="00395AB9" w:rsidP="00395AB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14:paraId="7DBEBBD3" w14:textId="77777777" w:rsidR="00395AB9" w:rsidRPr="00FF6947" w:rsidRDefault="00395AB9" w:rsidP="00395AB9">
      <w:pPr>
        <w:spacing w:after="200" w:line="276" w:lineRule="auto"/>
        <w:jc w:val="center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FF6947">
        <w:rPr>
          <w:rFonts w:ascii="Arial Narrow" w:eastAsia="Calibri" w:hAnsi="Arial Narrow"/>
          <w:b/>
          <w:sz w:val="22"/>
          <w:szCs w:val="22"/>
          <w:lang w:eastAsia="en-US"/>
        </w:rPr>
        <w:t>Odôvodnenie nerozdelenia predmetu zákazky</w:t>
      </w:r>
    </w:p>
    <w:p w14:paraId="193898A6" w14:textId="77777777" w:rsidR="00395AB9" w:rsidRDefault="00395AB9" w:rsidP="00395AB9">
      <w:pPr>
        <w:spacing w:line="312" w:lineRule="auto"/>
        <w:rPr>
          <w:rFonts w:ascii="Arial Narrow" w:eastAsia="Calibri" w:hAnsi="Arial Narrow"/>
          <w:sz w:val="22"/>
          <w:szCs w:val="22"/>
          <w:lang w:eastAsia="en-US"/>
        </w:rPr>
      </w:pPr>
    </w:p>
    <w:p w14:paraId="4E3A81F4" w14:textId="7DBA892D" w:rsidR="00EC169B" w:rsidRPr="00A97CCA" w:rsidRDefault="00EC169B" w:rsidP="00EC169B">
      <w:pPr>
        <w:jc w:val="both"/>
        <w:rPr>
          <w:rFonts w:ascii="Arial Narrow" w:hAnsi="Arial Narrow"/>
          <w:sz w:val="22"/>
          <w:szCs w:val="22"/>
        </w:rPr>
      </w:pPr>
      <w:r w:rsidRPr="00A97CCA">
        <w:rPr>
          <w:rFonts w:ascii="Arial Narrow" w:hAnsi="Arial Narrow"/>
          <w:sz w:val="22"/>
          <w:szCs w:val="22"/>
        </w:rPr>
        <w:t xml:space="preserve">V súvislosti s obstarávaním predmetu zákazky s názvom „Zabezpečenie </w:t>
      </w:r>
      <w:proofErr w:type="spellStart"/>
      <w:r w:rsidRPr="00A97CCA">
        <w:rPr>
          <w:rFonts w:ascii="Arial Narrow" w:hAnsi="Arial Narrow"/>
          <w:sz w:val="22"/>
          <w:szCs w:val="22"/>
        </w:rPr>
        <w:t>extradícií</w:t>
      </w:r>
      <w:proofErr w:type="spellEnd"/>
      <w:r w:rsidRPr="00A97CCA">
        <w:rPr>
          <w:rFonts w:ascii="Arial Narrow" w:hAnsi="Arial Narrow"/>
          <w:sz w:val="22"/>
          <w:szCs w:val="22"/>
        </w:rPr>
        <w:t>, eskort a deportácií pre Ministerstvo vnútra SR““ verejný obstarávateľ pred samotným vyhlásením zákazky zvažoval vhodnosť rozdelenia predmetu zákazky</w:t>
      </w:r>
      <w:r w:rsidR="00A97CCA">
        <w:rPr>
          <w:rFonts w:ascii="Arial Narrow" w:hAnsi="Arial Narrow"/>
          <w:sz w:val="22"/>
          <w:szCs w:val="22"/>
        </w:rPr>
        <w:t xml:space="preserve"> na časti</w:t>
      </w:r>
      <w:r w:rsidRPr="00A97CCA">
        <w:rPr>
          <w:rFonts w:ascii="Arial Narrow" w:hAnsi="Arial Narrow"/>
          <w:sz w:val="22"/>
          <w:szCs w:val="22"/>
        </w:rPr>
        <w:t xml:space="preserve">, avšak s ohľadom na nižšie uvedené skutočnosti, ktoré považuje za relevantné, sa rozhodol daný predmet zákazky nedeliť. </w:t>
      </w:r>
    </w:p>
    <w:p w14:paraId="4109DB60" w14:textId="77777777" w:rsidR="00727A57" w:rsidRDefault="00727A57" w:rsidP="00727A57">
      <w:pPr>
        <w:pStyle w:val="Zkladntext3"/>
        <w:tabs>
          <w:tab w:val="left" w:pos="540"/>
        </w:tabs>
        <w:spacing w:before="50" w:line="240" w:lineRule="auto"/>
        <w:jc w:val="both"/>
        <w:rPr>
          <w:rFonts w:ascii="Arial Narrow" w:hAnsi="Arial Narrow"/>
          <w:sz w:val="22"/>
          <w:szCs w:val="22"/>
        </w:rPr>
      </w:pPr>
    </w:p>
    <w:p w14:paraId="35983C77" w14:textId="3F33CB45" w:rsidR="00EC169B" w:rsidRPr="008F433C" w:rsidRDefault="00EC169B" w:rsidP="00727A57">
      <w:pPr>
        <w:pStyle w:val="Zkladntext3"/>
        <w:tabs>
          <w:tab w:val="left" w:pos="540"/>
        </w:tabs>
        <w:spacing w:before="50" w:line="240" w:lineRule="auto"/>
        <w:jc w:val="both"/>
        <w:rPr>
          <w:rFonts w:ascii="Arial Narrow" w:hAnsi="Arial Narrow"/>
          <w:sz w:val="22"/>
          <w:szCs w:val="22"/>
        </w:rPr>
      </w:pPr>
      <w:r w:rsidRPr="008F433C">
        <w:rPr>
          <w:rFonts w:ascii="Arial Narrow" w:hAnsi="Arial Narrow"/>
          <w:sz w:val="22"/>
          <w:szCs w:val="22"/>
        </w:rPr>
        <w:t>Dôvody, ktoré viedli verejného obstarávateľa k nerozdeleni</w:t>
      </w:r>
      <w:r w:rsidR="00A97CCA">
        <w:rPr>
          <w:rFonts w:ascii="Arial Narrow" w:hAnsi="Arial Narrow"/>
          <w:sz w:val="22"/>
          <w:szCs w:val="22"/>
        </w:rPr>
        <w:t>u</w:t>
      </w:r>
      <w:r w:rsidRPr="008F433C">
        <w:rPr>
          <w:rFonts w:ascii="Arial Narrow" w:hAnsi="Arial Narrow"/>
          <w:sz w:val="22"/>
          <w:szCs w:val="22"/>
        </w:rPr>
        <w:t xml:space="preserve"> predmetu zákazky</w:t>
      </w:r>
      <w:r w:rsidR="00A97CCA">
        <w:rPr>
          <w:rFonts w:ascii="Arial Narrow" w:hAnsi="Arial Narrow"/>
          <w:sz w:val="22"/>
          <w:szCs w:val="22"/>
        </w:rPr>
        <w:t xml:space="preserve"> na časti</w:t>
      </w:r>
      <w:r w:rsidRPr="008F433C">
        <w:rPr>
          <w:rFonts w:ascii="Arial Narrow" w:hAnsi="Arial Narrow"/>
          <w:sz w:val="22"/>
          <w:szCs w:val="22"/>
        </w:rPr>
        <w:t xml:space="preserve">: </w:t>
      </w:r>
    </w:p>
    <w:p w14:paraId="2C547E5E" w14:textId="77777777" w:rsidR="00EC169B" w:rsidRPr="00C71D55" w:rsidRDefault="00EC169B" w:rsidP="00EC169B">
      <w:pPr>
        <w:pStyle w:val="Zkladntext3"/>
        <w:numPr>
          <w:ilvl w:val="0"/>
          <w:numId w:val="2"/>
        </w:numPr>
        <w:tabs>
          <w:tab w:val="left" w:pos="540"/>
        </w:tabs>
        <w:spacing w:before="50" w:line="240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8F433C">
        <w:rPr>
          <w:rFonts w:ascii="Arial Narrow" w:hAnsi="Arial Narrow"/>
          <w:sz w:val="22"/>
          <w:szCs w:val="22"/>
        </w:rPr>
        <w:t>požadované služby, </w:t>
      </w:r>
      <w:r>
        <w:rPr>
          <w:rFonts w:ascii="Arial Narrow" w:hAnsi="Arial Narrow"/>
          <w:sz w:val="22"/>
          <w:szCs w:val="22"/>
        </w:rPr>
        <w:t> </w:t>
      </w:r>
      <w:proofErr w:type="spellStart"/>
      <w:r>
        <w:rPr>
          <w:rFonts w:ascii="Arial Narrow" w:hAnsi="Arial Narrow"/>
          <w:sz w:val="22"/>
          <w:szCs w:val="22"/>
        </w:rPr>
        <w:t>extradície</w:t>
      </w:r>
      <w:proofErr w:type="spellEnd"/>
      <w:r>
        <w:rPr>
          <w:rFonts w:ascii="Arial Narrow" w:hAnsi="Arial Narrow"/>
          <w:sz w:val="22"/>
          <w:szCs w:val="22"/>
        </w:rPr>
        <w:t>, eskorty a deportácie</w:t>
      </w:r>
      <w:r w:rsidRPr="008F433C">
        <w:rPr>
          <w:rFonts w:ascii="Arial Narrow" w:hAnsi="Arial Narrow"/>
          <w:sz w:val="22"/>
          <w:szCs w:val="22"/>
        </w:rPr>
        <w:t xml:space="preserve"> majú podobný charakter, pričom tieto služby budú v niektorých aktivitách vyplývajúcich z potrieb verejného obstarávateľa využívané </w:t>
      </w:r>
      <w:r w:rsidRPr="00C71D55">
        <w:rPr>
          <w:rFonts w:ascii="Arial Narrow" w:hAnsi="Arial Narrow"/>
          <w:sz w:val="22"/>
          <w:szCs w:val="22"/>
        </w:rPr>
        <w:t xml:space="preserve">súbežne, </w:t>
      </w:r>
    </w:p>
    <w:p w14:paraId="4080AD85" w14:textId="77777777" w:rsidR="00EC169B" w:rsidRPr="008F433C" w:rsidRDefault="00EC169B" w:rsidP="00EC169B">
      <w:pPr>
        <w:pStyle w:val="Zkladntext3"/>
        <w:numPr>
          <w:ilvl w:val="0"/>
          <w:numId w:val="2"/>
        </w:numPr>
        <w:tabs>
          <w:tab w:val="left" w:pos="540"/>
        </w:tabs>
        <w:spacing w:before="50" w:line="240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8F433C">
        <w:rPr>
          <w:rFonts w:ascii="Arial Narrow" w:hAnsi="Arial Narrow"/>
          <w:sz w:val="22"/>
          <w:szCs w:val="22"/>
        </w:rPr>
        <w:t xml:space="preserve">na relevantnom trhu sú dodávatelia predmetu zákazky, ktorí sú schopní a oprávnení plniť predmet zákazky a predložiť ponuku (čo sa ukázalo v predchádzajúcich plneniach rovnakého predmetu zákazky), </w:t>
      </w:r>
    </w:p>
    <w:p w14:paraId="238DAB33" w14:textId="77777777" w:rsidR="00EC169B" w:rsidRPr="008F433C" w:rsidRDefault="00EC169B" w:rsidP="00EC169B">
      <w:pPr>
        <w:pStyle w:val="Zkladntext3"/>
        <w:numPr>
          <w:ilvl w:val="0"/>
          <w:numId w:val="2"/>
        </w:numPr>
        <w:tabs>
          <w:tab w:val="left" w:pos="540"/>
        </w:tabs>
        <w:spacing w:before="50" w:line="240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8F433C">
        <w:rPr>
          <w:rFonts w:ascii="Arial Narrow" w:hAnsi="Arial Narrow"/>
          <w:sz w:val="22"/>
          <w:szCs w:val="22"/>
        </w:rPr>
        <w:t xml:space="preserve">verejný obstarávateľ pri určení nadlimitnej zákazky postupoval v zmysle svojich predchádzajúcich niekoľkoročných skúseností a dospel k záveru, že rozdelením zákazky na  </w:t>
      </w:r>
      <w:r>
        <w:rPr>
          <w:rFonts w:ascii="Arial Narrow" w:hAnsi="Arial Narrow"/>
          <w:sz w:val="22"/>
          <w:szCs w:val="22"/>
        </w:rPr>
        <w:t xml:space="preserve">tri </w:t>
      </w:r>
      <w:r w:rsidRPr="008F433C">
        <w:rPr>
          <w:rFonts w:ascii="Arial Narrow" w:hAnsi="Arial Narrow"/>
          <w:sz w:val="22"/>
          <w:szCs w:val="22"/>
        </w:rPr>
        <w:t>funkčné celky by bolo pre neho nehospodárne z pohľadu efektivity, takže predloženie ponuky na celý predmet zákazky v danom verejnom obstarávaní z hľadiska ekonomickej kontinuity a funkčného celku poskytovaných služieb je efektívnejšie predmet zákazky nerozdeliť, na základe uvedeného tak</w:t>
      </w:r>
      <w:r w:rsidRPr="008F433C" w:rsidDel="00B14178">
        <w:rPr>
          <w:rFonts w:ascii="Arial Narrow" w:hAnsi="Arial Narrow"/>
          <w:sz w:val="22"/>
          <w:szCs w:val="22"/>
        </w:rPr>
        <w:t xml:space="preserve"> </w:t>
      </w:r>
      <w:r w:rsidRPr="008F433C">
        <w:rPr>
          <w:rFonts w:ascii="Arial Narrow" w:hAnsi="Arial Narrow"/>
          <w:sz w:val="22"/>
          <w:szCs w:val="22"/>
        </w:rPr>
        <w:t xml:space="preserve">budú verejné financie využité efektívnejším, účinným a transparentným spôsobom, </w:t>
      </w:r>
    </w:p>
    <w:p w14:paraId="0CED7BE0" w14:textId="77777777" w:rsidR="00EC169B" w:rsidRPr="008F433C" w:rsidRDefault="00EC169B" w:rsidP="00EC169B">
      <w:pPr>
        <w:pStyle w:val="Zkladntext3"/>
        <w:numPr>
          <w:ilvl w:val="0"/>
          <w:numId w:val="2"/>
        </w:numPr>
        <w:tabs>
          <w:tab w:val="left" w:pos="540"/>
        </w:tabs>
        <w:spacing w:before="50" w:line="240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8F433C">
        <w:rPr>
          <w:rFonts w:ascii="Arial Narrow" w:hAnsi="Arial Narrow"/>
          <w:sz w:val="22"/>
          <w:szCs w:val="22"/>
        </w:rPr>
        <w:t>pri zabezpečovaní týchto služieb je pre verejného obstarávateľa jednoduchšie komunikovať s jedným poskytovateľom, ako oslovovať</w:t>
      </w:r>
      <w:r>
        <w:rPr>
          <w:rFonts w:ascii="Arial Narrow" w:hAnsi="Arial Narrow"/>
          <w:sz w:val="22"/>
          <w:szCs w:val="22"/>
        </w:rPr>
        <w:t xml:space="preserve"> troch</w:t>
      </w:r>
      <w:r w:rsidRPr="008F433C">
        <w:rPr>
          <w:rFonts w:ascii="Arial Narrow" w:hAnsi="Arial Narrow"/>
          <w:sz w:val="22"/>
          <w:szCs w:val="22"/>
        </w:rPr>
        <w:t xml:space="preserve"> potenciálnych poskytovateľov, čo by znamenalo zvýšenú administratívnu náročnosť pri zabezpečení požadovaných služieb, hlavne pri aktivitách, ktoré môžu byť z časového hľadiska neočakávané, pričom pri niektorých neočakávaných aktivitách bude potrebné urgentné plnenie predmetu zákazky súbežne, </w:t>
      </w:r>
    </w:p>
    <w:p w14:paraId="0DB60AA2" w14:textId="77777777" w:rsidR="00EC169B" w:rsidRPr="008F433C" w:rsidRDefault="00EC169B" w:rsidP="00EC169B">
      <w:pPr>
        <w:pStyle w:val="Zkladntext3"/>
        <w:numPr>
          <w:ilvl w:val="0"/>
          <w:numId w:val="2"/>
        </w:numPr>
        <w:tabs>
          <w:tab w:val="left" w:pos="540"/>
        </w:tabs>
        <w:spacing w:before="50" w:line="240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8F433C">
        <w:rPr>
          <w:rFonts w:ascii="Arial Narrow" w:hAnsi="Arial Narrow"/>
          <w:sz w:val="22"/>
          <w:szCs w:val="22"/>
        </w:rPr>
        <w:t>jednotlivé služby v niektorých aktivitách verejného obstarávateľa spolu súvisia svojimi charakteristikami a povahou a tvoria ucelenú časť, a to najmä z hľadiska časovej, vecnej a miestnej súvislosti obstarávaných zákaziek, tzn. majú rovnakú alebo podobnú lehotu plnenia zákazky, rovnané miesto plnenia a vecne sa týkajú rovnakého alebo podobného  obsahu,</w:t>
      </w:r>
    </w:p>
    <w:p w14:paraId="1BC29C8E" w14:textId="77777777" w:rsidR="00EC169B" w:rsidRPr="008F433C" w:rsidRDefault="00EC169B" w:rsidP="00EC169B">
      <w:pPr>
        <w:pStyle w:val="Zkladntext3"/>
        <w:numPr>
          <w:ilvl w:val="0"/>
          <w:numId w:val="2"/>
        </w:numPr>
        <w:tabs>
          <w:tab w:val="left" w:pos="540"/>
        </w:tabs>
        <w:spacing w:before="50" w:line="240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8F433C">
        <w:rPr>
          <w:rFonts w:ascii="Arial Narrow" w:hAnsi="Arial Narrow"/>
          <w:sz w:val="22"/>
          <w:szCs w:val="22"/>
        </w:rPr>
        <w:t xml:space="preserve">nerozdelenie predmetu zákazky vzhľadom na charakter predmetu zákazky je v súlade s princípom hospodárnosti, efektívnosti, nediskriminácie hospodárskych subjektov a čestnej hospodárskej súťaže.  </w:t>
      </w:r>
    </w:p>
    <w:p w14:paraId="13FCB3CD" w14:textId="77777777" w:rsidR="00EC169B" w:rsidRPr="008F433C" w:rsidRDefault="00EC169B" w:rsidP="00EC169B">
      <w:pPr>
        <w:pStyle w:val="Zkladntext3"/>
        <w:tabs>
          <w:tab w:val="left" w:pos="540"/>
        </w:tabs>
        <w:spacing w:before="50" w:line="240" w:lineRule="auto"/>
        <w:jc w:val="both"/>
        <w:rPr>
          <w:rFonts w:ascii="Arial Narrow" w:hAnsi="Arial Narrow"/>
          <w:sz w:val="22"/>
          <w:szCs w:val="22"/>
        </w:rPr>
      </w:pPr>
    </w:p>
    <w:p w14:paraId="608A8C7F" w14:textId="5B5A62D8" w:rsidR="00EC169B" w:rsidRPr="008F433C" w:rsidRDefault="00EC169B" w:rsidP="00EC169B">
      <w:pPr>
        <w:pStyle w:val="Zkladntext3"/>
        <w:tabs>
          <w:tab w:val="left" w:pos="540"/>
        </w:tabs>
        <w:spacing w:before="50" w:line="240" w:lineRule="auto"/>
        <w:jc w:val="both"/>
        <w:rPr>
          <w:rFonts w:ascii="Arial Narrow" w:hAnsi="Arial Narrow"/>
          <w:sz w:val="22"/>
          <w:szCs w:val="22"/>
        </w:rPr>
      </w:pPr>
      <w:r w:rsidRPr="008F433C">
        <w:rPr>
          <w:rFonts w:ascii="Arial Narrow" w:hAnsi="Arial Narrow"/>
          <w:sz w:val="22"/>
          <w:szCs w:val="22"/>
        </w:rPr>
        <w:t xml:space="preserve">So zreteľom na efektívnosť, kvalitu a  hospodárnosť je verejný obstarávateľ presvedčený, že jediným spôsobom ako dosiahnuť, aby aktivita verejného obstarávateľa z hľadiska využitia uvedených služieb, ktoré tvoria predmet zákazky tohto verejného obstarávania  prebehla bez komplikácii </w:t>
      </w:r>
      <w:r>
        <w:rPr>
          <w:rFonts w:ascii="Arial Narrow" w:hAnsi="Arial Narrow"/>
          <w:sz w:val="22"/>
          <w:szCs w:val="22"/>
        </w:rPr>
        <w:t>je nerozdelenie zákazky</w:t>
      </w:r>
      <w:r w:rsidR="00A97CCA">
        <w:rPr>
          <w:rFonts w:ascii="Arial Narrow" w:hAnsi="Arial Narrow"/>
          <w:sz w:val="22"/>
          <w:szCs w:val="22"/>
        </w:rPr>
        <w:t xml:space="preserve"> na časti</w:t>
      </w:r>
      <w:r>
        <w:rPr>
          <w:rFonts w:ascii="Arial Narrow" w:hAnsi="Arial Narrow"/>
          <w:sz w:val="22"/>
          <w:szCs w:val="22"/>
        </w:rPr>
        <w:t>. P</w:t>
      </w:r>
      <w:r w:rsidRPr="008F433C">
        <w:rPr>
          <w:rFonts w:ascii="Arial Narrow" w:hAnsi="Arial Narrow"/>
          <w:sz w:val="22"/>
          <w:szCs w:val="22"/>
        </w:rPr>
        <w:t xml:space="preserve">reto </w:t>
      </w:r>
      <w:r>
        <w:rPr>
          <w:rFonts w:ascii="Arial Narrow" w:hAnsi="Arial Narrow"/>
          <w:sz w:val="22"/>
          <w:szCs w:val="22"/>
        </w:rPr>
        <w:t xml:space="preserve">sa </w:t>
      </w:r>
      <w:r w:rsidRPr="008F433C">
        <w:rPr>
          <w:rFonts w:ascii="Arial Narrow" w:hAnsi="Arial Narrow"/>
          <w:sz w:val="22"/>
          <w:szCs w:val="22"/>
        </w:rPr>
        <w:t xml:space="preserve">verejný obstarávateľ rozhodol  predmet zákazky nedeliť a zachovať ho v celistvom stave. </w:t>
      </w:r>
    </w:p>
    <w:p w14:paraId="3E3CD9D9" w14:textId="77777777" w:rsidR="00EC169B" w:rsidRPr="008F433C" w:rsidRDefault="00EC169B" w:rsidP="00EC169B">
      <w:pPr>
        <w:rPr>
          <w:rFonts w:ascii="Arial Narrow" w:hAnsi="Arial Narrow"/>
        </w:rPr>
      </w:pPr>
    </w:p>
    <w:p w14:paraId="46FE5C5D" w14:textId="77777777" w:rsidR="00E912C2" w:rsidRDefault="00E912C2"/>
    <w:sectPr w:rsidR="00E912C2" w:rsidSect="00223D5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361" w:right="992" w:bottom="567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8F065" w14:textId="77777777" w:rsidR="00D139CD" w:rsidRDefault="00D139CD" w:rsidP="00395AB9">
      <w:r>
        <w:separator/>
      </w:r>
    </w:p>
  </w:endnote>
  <w:endnote w:type="continuationSeparator" w:id="0">
    <w:p w14:paraId="0E877263" w14:textId="77777777" w:rsidR="00D139CD" w:rsidRDefault="00D139CD" w:rsidP="0039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3BA60" w14:textId="77777777" w:rsidR="00CF6E76" w:rsidRPr="00223D52" w:rsidRDefault="008076FA" w:rsidP="00223D52">
    <w:pPr>
      <w:pStyle w:val="Pta"/>
      <w:tabs>
        <w:tab w:val="clear" w:pos="9072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223D52">
      <w:rPr>
        <w:rFonts w:ascii="Arial Narrow" w:hAnsi="Arial Narrow" w:cs="Arial"/>
        <w:i/>
        <w:noProof/>
        <w:color w:val="808080"/>
      </w:rPr>
      <w:t xml:space="preserve">   </w:t>
    </w:r>
    <w:r w:rsidRPr="00223D52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6F31BF20" w14:textId="77777777" w:rsidR="00CF6E76" w:rsidRPr="00223D52" w:rsidRDefault="008076FA" w:rsidP="00223D52">
    <w:pPr>
      <w:tabs>
        <w:tab w:val="center" w:pos="8460"/>
        <w:tab w:val="right" w:pos="10080"/>
      </w:tabs>
      <w:overflowPunct/>
      <w:autoSpaceDE/>
      <w:autoSpaceDN/>
      <w:adjustRightInd/>
      <w:textAlignment w:val="auto"/>
      <w:rPr>
        <w:rFonts w:ascii="Arial" w:hAnsi="Arial" w:cs="Arial"/>
        <w:noProof/>
        <w:color w:val="000000"/>
        <w:sz w:val="18"/>
        <w:szCs w:val="18"/>
      </w:rPr>
    </w:pPr>
    <w:r w:rsidRPr="00223D52">
      <w:rPr>
        <w:rFonts w:ascii="Arial Narrow" w:hAnsi="Arial Narrow" w:cs="Arial"/>
        <w:i/>
        <w:color w:val="808080"/>
        <w:lang w:eastAsia="cs-CZ"/>
      </w:rPr>
      <w:t xml:space="preserve">      </w:t>
    </w:r>
    <w:r w:rsidRPr="00F33E54">
      <w:rPr>
        <w:rFonts w:ascii="Arial Narrow" w:hAnsi="Arial Narrow" w:cs="Arial"/>
        <w:i/>
        <w:color w:val="808080"/>
        <w:lang w:eastAsia="cs-CZ"/>
      </w:rPr>
      <w:t>Súťažné podklady  „Evakuačný vertikálny špirálový rukáv“</w:t>
    </w:r>
    <w:r w:rsidRPr="00F33E54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223D52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223D52">
      <w:rPr>
        <w:rFonts w:ascii="Arial" w:hAnsi="Arial" w:cs="Arial"/>
        <w:color w:val="000000"/>
        <w:szCs w:val="14"/>
        <w:lang w:eastAsia="cs-CZ"/>
      </w:rPr>
      <w:tab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>
      <w:rPr>
        <w:rFonts w:ascii="Arial Narrow" w:hAnsi="Arial Narrow" w:cs="Arial"/>
        <w:noProof/>
        <w:color w:val="000000"/>
        <w:sz w:val="22"/>
        <w:szCs w:val="22"/>
        <w:lang w:eastAsia="cs-CZ"/>
      </w:rPr>
      <w:t>17</w: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t>/</w:t>
    </w:r>
    <w:fldSimple w:instr=" NUMPAGES  \* Arabic  \* MERGEFORMAT ">
      <w:r w:rsidRPr="00EB25E9">
        <w:rPr>
          <w:rFonts w:ascii="Arial Narrow" w:hAnsi="Arial Narrow" w:cs="Arial"/>
          <w:noProof/>
          <w:color w:val="000000"/>
          <w:sz w:val="22"/>
          <w:szCs w:val="22"/>
          <w:lang w:eastAsia="cs-CZ"/>
        </w:rPr>
        <w:t>32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95FC3" w14:textId="77777777" w:rsidR="00CF6E76" w:rsidRDefault="008076FA">
    <w:r>
      <w:rPr>
        <w:noProof/>
      </w:rPr>
      <w:drawing>
        <wp:inline distT="0" distB="0" distL="0" distR="0" wp14:anchorId="3E9E5B73" wp14:editId="5C2720DE">
          <wp:extent cx="5755005" cy="494030"/>
          <wp:effectExtent l="1905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5B31E" w14:textId="77777777" w:rsidR="00D139CD" w:rsidRDefault="00D139CD" w:rsidP="00395AB9">
      <w:r>
        <w:separator/>
      </w:r>
    </w:p>
  </w:footnote>
  <w:footnote w:type="continuationSeparator" w:id="0">
    <w:p w14:paraId="05D0715E" w14:textId="77777777" w:rsidR="00D139CD" w:rsidRDefault="00D139CD" w:rsidP="00395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0B2F7" w14:textId="77777777" w:rsidR="00CF6E76" w:rsidRPr="00223D52" w:rsidRDefault="008076FA" w:rsidP="00223D52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noProof/>
        <w:color w:val="BAB596"/>
        <w:sz w:val="18"/>
        <w:szCs w:val="18"/>
      </w:rPr>
    </w:pPr>
    <w:r w:rsidRPr="00223D52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14:paraId="169E8ADF" w14:textId="77777777" w:rsidR="00CF6E76" w:rsidRPr="00223D52" w:rsidRDefault="008076FA" w:rsidP="00223D52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color w:val="BAB596"/>
        <w:sz w:val="18"/>
        <w:szCs w:val="18"/>
      </w:rPr>
    </w:pPr>
    <w:r w:rsidRPr="00223D52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14:paraId="5B423805" w14:textId="77777777" w:rsidR="00CF6E76" w:rsidRPr="00223D52" w:rsidRDefault="008076FA" w:rsidP="00223D52">
    <w:pPr>
      <w:overflowPunct/>
      <w:autoSpaceDE/>
      <w:autoSpaceDN/>
      <w:adjustRightInd/>
      <w:jc w:val="center"/>
      <w:textAlignment w:val="auto"/>
      <w:rPr>
        <w:rFonts w:ascii="Arial" w:hAnsi="Arial"/>
        <w:noProof/>
        <w:color w:val="FF0000"/>
      </w:rPr>
    </w:pPr>
    <w:r>
      <w:rPr>
        <w:rFonts w:ascii="Arial" w:hAnsi="Arial"/>
        <w:noProof/>
        <w:color w:val="FF0000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277275BC" wp14:editId="6D1B7CF1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FBB09EB" id="Line 1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">
              <w10:wrap type="topAndBotto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52037" w14:textId="4AEAAFC4" w:rsidR="00395AB9" w:rsidRPr="009171C6" w:rsidRDefault="008076FA" w:rsidP="00395AB9">
    <w:pPr>
      <w:tabs>
        <w:tab w:val="num" w:pos="1080"/>
        <w:tab w:val="left" w:leader="dot" w:pos="10034"/>
      </w:tabs>
      <w:spacing w:before="120"/>
      <w:jc w:val="right"/>
      <w:rPr>
        <w:rFonts w:ascii="Arial Narrow" w:hAnsi="Arial Narrow"/>
      </w:rPr>
    </w:pPr>
    <w:r w:rsidRPr="007B3BC7">
      <w:rPr>
        <w:bCs/>
        <w:color w:val="365F91"/>
        <w:sz w:val="22"/>
        <w:szCs w:val="22"/>
      </w:rPr>
      <w:tab/>
    </w:r>
    <w:r w:rsidR="00395AB9" w:rsidRPr="009171C6">
      <w:rPr>
        <w:rFonts w:ascii="Arial Narrow" w:hAnsi="Arial Narrow"/>
      </w:rPr>
      <w:t xml:space="preserve">Príloha č. </w:t>
    </w:r>
    <w:r w:rsidR="00395AB9">
      <w:rPr>
        <w:rFonts w:ascii="Arial Narrow" w:hAnsi="Arial Narrow"/>
      </w:rPr>
      <w:t>8</w:t>
    </w:r>
    <w:r w:rsidR="00395AB9" w:rsidRPr="009171C6">
      <w:rPr>
        <w:rFonts w:ascii="Arial Narrow" w:hAnsi="Arial Narrow"/>
      </w:rPr>
      <w:t xml:space="preserve"> súťažných podkladov</w:t>
    </w:r>
  </w:p>
  <w:p w14:paraId="29D322FE" w14:textId="4591D258" w:rsidR="00CF6E76" w:rsidRPr="0015012F" w:rsidRDefault="00D139CD" w:rsidP="00395AB9">
    <w:pPr>
      <w:pStyle w:val="Hlavika"/>
      <w:tabs>
        <w:tab w:val="center" w:pos="4749"/>
        <w:tab w:val="right" w:pos="9356"/>
        <w:tab w:val="right" w:pos="9499"/>
      </w:tabs>
      <w:ind w:right="-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4000E"/>
    <w:multiLevelType w:val="hybridMultilevel"/>
    <w:tmpl w:val="2DFC98C8"/>
    <w:lvl w:ilvl="0" w:tplc="10F03AF4">
      <w:start w:val="812"/>
      <w:numFmt w:val="bullet"/>
      <w:lvlText w:val="-"/>
      <w:lvlJc w:val="left"/>
      <w:pPr>
        <w:ind w:left="1282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" w15:restartNumberingAfterBreak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wMzK0NDMwNrEwNTJT0lEKTi0uzszPAykwrAUAEc1e6CwAAAA="/>
  </w:docVars>
  <w:rsids>
    <w:rsidRoot w:val="0029173B"/>
    <w:rsid w:val="001A3853"/>
    <w:rsid w:val="0029173B"/>
    <w:rsid w:val="00395AB9"/>
    <w:rsid w:val="00545AD9"/>
    <w:rsid w:val="00727A57"/>
    <w:rsid w:val="008076FA"/>
    <w:rsid w:val="00A97CCA"/>
    <w:rsid w:val="00D139CD"/>
    <w:rsid w:val="00D30166"/>
    <w:rsid w:val="00E912C2"/>
    <w:rsid w:val="00EC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933F"/>
  <w15:chartTrackingRefBased/>
  <w15:docId w15:val="{3E16113C-9160-4461-A28A-5DECB488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5A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AB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AB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395A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95AB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unhideWhenUsed/>
    <w:rsid w:val="00EC169B"/>
    <w:pPr>
      <w:overflowPunct/>
      <w:autoSpaceDE/>
      <w:autoSpaceDN/>
      <w:adjustRightInd/>
      <w:spacing w:after="120" w:line="276" w:lineRule="auto"/>
      <w:textAlignment w:val="auto"/>
    </w:pPr>
    <w:rPr>
      <w:rFonts w:eastAsia="Calibri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rsid w:val="00EC169B"/>
    <w:rPr>
      <w:rFonts w:ascii="Times New Roman" w:eastAsia="Calibri" w:hAnsi="Times New Roman"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7A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7A5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Jozef Kubinec</cp:lastModifiedBy>
  <cp:revision>7</cp:revision>
  <dcterms:created xsi:type="dcterms:W3CDTF">2021-01-25T08:41:00Z</dcterms:created>
  <dcterms:modified xsi:type="dcterms:W3CDTF">2021-09-23T09:16:00Z</dcterms:modified>
</cp:coreProperties>
</file>