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5A13C" w14:textId="6AA7347A" w:rsidR="00074645" w:rsidRPr="00A94B32" w:rsidRDefault="00074645" w:rsidP="00074645">
      <w:pPr>
        <w:widowControl w:val="0"/>
        <w:autoSpaceDE w:val="0"/>
        <w:autoSpaceDN w:val="0"/>
        <w:adjustRightInd w:val="0"/>
        <w:jc w:val="both"/>
        <w:rPr>
          <w:rFonts w:ascii="Arial Narrow" w:hAnsi="Arial Narrow" w:cs="Arial Narrow"/>
        </w:rPr>
      </w:pPr>
      <w:r w:rsidRPr="00A94B32">
        <w:rPr>
          <w:rFonts w:ascii="Arial Narrow" w:hAnsi="Arial Narrow"/>
        </w:rPr>
        <w:tab/>
      </w:r>
    </w:p>
    <w:p w14:paraId="1EA75949" w14:textId="77777777" w:rsidR="00074645" w:rsidRPr="00A94B32" w:rsidRDefault="00074645" w:rsidP="00074645">
      <w:pPr>
        <w:tabs>
          <w:tab w:val="num" w:pos="1080"/>
          <w:tab w:val="left" w:leader="dot" w:pos="10034"/>
        </w:tabs>
        <w:spacing w:before="120"/>
        <w:jc w:val="right"/>
        <w:rPr>
          <w:rFonts w:ascii="Arial Narrow" w:hAnsi="Arial Narrow" w:cs="Arial"/>
        </w:rPr>
      </w:pPr>
      <w:r w:rsidRPr="00A94B32">
        <w:rPr>
          <w:rFonts w:ascii="Arial Narrow" w:hAnsi="Arial Narrow" w:cs="Arial Narrow"/>
        </w:rPr>
        <w:tab/>
      </w:r>
    </w:p>
    <w:p w14:paraId="3B6E14C0" w14:textId="5D59FBF1" w:rsidR="00074645" w:rsidRPr="00A94B32" w:rsidRDefault="00A94B32" w:rsidP="00074645">
      <w:pPr>
        <w:widowControl w:val="0"/>
        <w:autoSpaceDE w:val="0"/>
        <w:autoSpaceDN w:val="0"/>
        <w:adjustRightInd w:val="0"/>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Príloha č.5 súťažných podkladov </w:t>
      </w:r>
    </w:p>
    <w:p w14:paraId="091ECF70" w14:textId="77777777" w:rsidR="00074645" w:rsidRPr="00A94B32" w:rsidRDefault="00074645" w:rsidP="00074645">
      <w:pPr>
        <w:widowControl w:val="0"/>
        <w:autoSpaceDE w:val="0"/>
        <w:autoSpaceDN w:val="0"/>
        <w:adjustRightInd w:val="0"/>
        <w:jc w:val="both"/>
        <w:rPr>
          <w:rFonts w:ascii="Arial Narrow" w:hAnsi="Arial Narrow" w:cs="Arial"/>
        </w:rPr>
      </w:pPr>
    </w:p>
    <w:p w14:paraId="7E08AC50" w14:textId="77777777" w:rsidR="00074645" w:rsidRPr="00A94B32" w:rsidRDefault="00074645" w:rsidP="00074645">
      <w:pPr>
        <w:widowControl w:val="0"/>
        <w:autoSpaceDE w:val="0"/>
        <w:autoSpaceDN w:val="0"/>
        <w:adjustRightInd w:val="0"/>
        <w:jc w:val="both"/>
        <w:rPr>
          <w:rFonts w:ascii="Arial Narrow" w:hAnsi="Arial Narrow" w:cs="Arial"/>
        </w:rPr>
      </w:pPr>
    </w:p>
    <w:p w14:paraId="2DC774D8" w14:textId="77777777" w:rsidR="00074645" w:rsidRPr="00A94B32" w:rsidRDefault="00074645" w:rsidP="00074645">
      <w:pPr>
        <w:widowControl w:val="0"/>
        <w:autoSpaceDE w:val="0"/>
        <w:autoSpaceDN w:val="0"/>
        <w:adjustRightInd w:val="0"/>
        <w:jc w:val="both"/>
        <w:rPr>
          <w:rFonts w:ascii="Arial Narrow" w:hAnsi="Arial Narrow" w:cs="Arial"/>
        </w:rPr>
      </w:pPr>
    </w:p>
    <w:p w14:paraId="57DA5F01" w14:textId="77777777" w:rsidR="00074645" w:rsidRPr="00A94B32" w:rsidRDefault="00074645" w:rsidP="00074645">
      <w:pPr>
        <w:widowControl w:val="0"/>
        <w:autoSpaceDE w:val="0"/>
        <w:autoSpaceDN w:val="0"/>
        <w:adjustRightInd w:val="0"/>
        <w:jc w:val="both"/>
        <w:rPr>
          <w:rFonts w:ascii="Arial Narrow" w:hAnsi="Arial Narrow" w:cs="Arial"/>
        </w:rPr>
      </w:pPr>
    </w:p>
    <w:p w14:paraId="6F7B8FB6" w14:textId="77777777" w:rsidR="00074645" w:rsidRPr="00A94B32" w:rsidRDefault="00074645" w:rsidP="00074645">
      <w:pPr>
        <w:widowControl w:val="0"/>
        <w:autoSpaceDE w:val="0"/>
        <w:autoSpaceDN w:val="0"/>
        <w:adjustRightInd w:val="0"/>
        <w:jc w:val="both"/>
        <w:rPr>
          <w:rFonts w:ascii="Arial Narrow" w:hAnsi="Arial Narrow" w:cs="Arial"/>
        </w:rPr>
      </w:pPr>
    </w:p>
    <w:p w14:paraId="72453DF6" w14:textId="77777777" w:rsidR="00074645" w:rsidRPr="00A94B32" w:rsidRDefault="00074645" w:rsidP="00074645">
      <w:pPr>
        <w:widowControl w:val="0"/>
        <w:autoSpaceDE w:val="0"/>
        <w:autoSpaceDN w:val="0"/>
        <w:adjustRightInd w:val="0"/>
        <w:jc w:val="both"/>
        <w:rPr>
          <w:rFonts w:ascii="Arial Narrow" w:hAnsi="Arial Narrow" w:cs="Arial"/>
        </w:rPr>
      </w:pPr>
    </w:p>
    <w:p w14:paraId="65670884" w14:textId="77777777" w:rsidR="00074645" w:rsidRPr="00A94B32" w:rsidRDefault="00074645" w:rsidP="00074645">
      <w:pPr>
        <w:widowControl w:val="0"/>
        <w:autoSpaceDE w:val="0"/>
        <w:autoSpaceDN w:val="0"/>
        <w:adjustRightInd w:val="0"/>
        <w:jc w:val="both"/>
        <w:rPr>
          <w:rFonts w:ascii="Arial Narrow" w:hAnsi="Arial Narrow" w:cs="Arial"/>
        </w:rPr>
      </w:pPr>
    </w:p>
    <w:p w14:paraId="3CBE9D6D" w14:textId="77777777" w:rsidR="00074645" w:rsidRPr="00A94B32" w:rsidRDefault="00074645" w:rsidP="00074645">
      <w:pPr>
        <w:widowControl w:val="0"/>
        <w:autoSpaceDE w:val="0"/>
        <w:autoSpaceDN w:val="0"/>
        <w:adjustRightInd w:val="0"/>
        <w:jc w:val="both"/>
        <w:rPr>
          <w:rFonts w:ascii="Arial Narrow" w:hAnsi="Arial Narrow" w:cs="Arial"/>
        </w:rPr>
      </w:pPr>
    </w:p>
    <w:p w14:paraId="77AA2088" w14:textId="77777777" w:rsidR="00074645" w:rsidRPr="00A94B32" w:rsidRDefault="00074645" w:rsidP="00074645">
      <w:pPr>
        <w:widowControl w:val="0"/>
        <w:autoSpaceDE w:val="0"/>
        <w:autoSpaceDN w:val="0"/>
        <w:adjustRightInd w:val="0"/>
        <w:jc w:val="both"/>
        <w:rPr>
          <w:rFonts w:ascii="Arial Narrow" w:hAnsi="Arial Narrow" w:cs="Arial"/>
        </w:rPr>
      </w:pPr>
    </w:p>
    <w:p w14:paraId="54AEFB9D" w14:textId="77777777" w:rsidR="00074645" w:rsidRPr="00A94B32" w:rsidRDefault="00074645" w:rsidP="00074645">
      <w:pPr>
        <w:widowControl w:val="0"/>
        <w:autoSpaceDE w:val="0"/>
        <w:autoSpaceDN w:val="0"/>
        <w:adjustRightInd w:val="0"/>
        <w:jc w:val="both"/>
        <w:rPr>
          <w:rFonts w:ascii="Arial Narrow" w:hAnsi="Arial Narrow" w:cs="Arial"/>
        </w:rPr>
      </w:pPr>
    </w:p>
    <w:p w14:paraId="57F799C3" w14:textId="77777777" w:rsidR="00074645" w:rsidRPr="00A94B32" w:rsidRDefault="00074645" w:rsidP="00074645">
      <w:pPr>
        <w:widowControl w:val="0"/>
        <w:autoSpaceDE w:val="0"/>
        <w:autoSpaceDN w:val="0"/>
        <w:adjustRightInd w:val="0"/>
        <w:jc w:val="both"/>
        <w:rPr>
          <w:rFonts w:ascii="Arial Narrow" w:hAnsi="Arial Narrow" w:cs="Arial"/>
        </w:rPr>
      </w:pPr>
    </w:p>
    <w:p w14:paraId="50D2C4FA" w14:textId="77777777" w:rsidR="00074645" w:rsidRPr="00A94B32" w:rsidRDefault="00074645" w:rsidP="00074645">
      <w:pPr>
        <w:widowControl w:val="0"/>
        <w:autoSpaceDE w:val="0"/>
        <w:autoSpaceDN w:val="0"/>
        <w:adjustRightInd w:val="0"/>
        <w:jc w:val="both"/>
        <w:rPr>
          <w:rFonts w:ascii="Arial Narrow" w:hAnsi="Arial Narrow" w:cs="Arial"/>
        </w:rPr>
      </w:pPr>
    </w:p>
    <w:p w14:paraId="40DB7D51" w14:textId="77777777" w:rsidR="00074645" w:rsidRPr="00A94B32" w:rsidRDefault="00074645" w:rsidP="00074645">
      <w:pPr>
        <w:widowControl w:val="0"/>
        <w:autoSpaceDE w:val="0"/>
        <w:autoSpaceDN w:val="0"/>
        <w:adjustRightInd w:val="0"/>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74645" w:rsidRPr="00042364" w14:paraId="7ABA44A1" w14:textId="77777777" w:rsidTr="003B06F9">
        <w:trPr>
          <w:trHeight w:val="2700"/>
        </w:trPr>
        <w:tc>
          <w:tcPr>
            <w:tcW w:w="9073" w:type="dxa"/>
          </w:tcPr>
          <w:p w14:paraId="3F6365BE" w14:textId="77777777" w:rsidR="00074645" w:rsidRPr="00A94B32" w:rsidRDefault="00074645" w:rsidP="003B06F9">
            <w:pPr>
              <w:widowControl w:val="0"/>
              <w:autoSpaceDE w:val="0"/>
              <w:autoSpaceDN w:val="0"/>
              <w:adjustRightInd w:val="0"/>
              <w:jc w:val="both"/>
              <w:rPr>
                <w:rFonts w:ascii="Arial Narrow" w:hAnsi="Arial Narrow" w:cs="Arial"/>
              </w:rPr>
            </w:pPr>
          </w:p>
          <w:p w14:paraId="6342F147" w14:textId="77777777" w:rsidR="00074645" w:rsidRPr="00A94B32" w:rsidRDefault="00074645" w:rsidP="003B06F9">
            <w:pPr>
              <w:widowControl w:val="0"/>
              <w:autoSpaceDE w:val="0"/>
              <w:autoSpaceDN w:val="0"/>
              <w:adjustRightInd w:val="0"/>
              <w:jc w:val="both"/>
              <w:rPr>
                <w:rFonts w:ascii="Arial Narrow" w:hAnsi="Arial Narrow" w:cs="Arial"/>
              </w:rPr>
            </w:pPr>
          </w:p>
          <w:p w14:paraId="1A2F2708" w14:textId="77777777" w:rsidR="00074645" w:rsidRPr="00A94B32" w:rsidRDefault="00074645" w:rsidP="003B06F9">
            <w:pPr>
              <w:widowControl w:val="0"/>
              <w:autoSpaceDE w:val="0"/>
              <w:autoSpaceDN w:val="0"/>
              <w:adjustRightInd w:val="0"/>
              <w:jc w:val="center"/>
              <w:rPr>
                <w:rFonts w:ascii="Arial Narrow" w:hAnsi="Arial Narrow" w:cs="Arial"/>
              </w:rPr>
            </w:pPr>
            <w:r w:rsidRPr="00A94B32">
              <w:rPr>
                <w:rFonts w:ascii="Arial Narrow" w:hAnsi="Arial Narrow" w:cs="Arial"/>
                <w:b/>
                <w:smallCaps/>
              </w:rPr>
              <w:t>Podmienky účasti</w:t>
            </w:r>
          </w:p>
          <w:p w14:paraId="1DF92983" w14:textId="77777777" w:rsidR="00074645" w:rsidRPr="00A94B32" w:rsidRDefault="00074645" w:rsidP="003B06F9">
            <w:pPr>
              <w:spacing w:before="120"/>
              <w:jc w:val="center"/>
              <w:rPr>
                <w:rFonts w:ascii="Arial Narrow" w:hAnsi="Arial Narrow" w:cs="Arial"/>
              </w:rPr>
            </w:pPr>
          </w:p>
        </w:tc>
      </w:tr>
    </w:tbl>
    <w:p w14:paraId="56E7BD9D" w14:textId="77777777" w:rsidR="00074645" w:rsidRPr="00042364" w:rsidRDefault="00074645" w:rsidP="00074645">
      <w:pPr>
        <w:widowControl w:val="0"/>
        <w:autoSpaceDE w:val="0"/>
        <w:autoSpaceDN w:val="0"/>
        <w:adjustRightInd w:val="0"/>
        <w:jc w:val="both"/>
        <w:rPr>
          <w:rFonts w:ascii="Arial Narrow" w:hAnsi="Arial Narrow" w:cs="Arial"/>
        </w:rPr>
      </w:pPr>
    </w:p>
    <w:p w14:paraId="136203E2" w14:textId="77777777" w:rsidR="00074645" w:rsidRPr="00042364" w:rsidRDefault="00074645" w:rsidP="00074645">
      <w:pPr>
        <w:widowControl w:val="0"/>
        <w:autoSpaceDE w:val="0"/>
        <w:autoSpaceDN w:val="0"/>
        <w:adjustRightInd w:val="0"/>
        <w:jc w:val="both"/>
        <w:rPr>
          <w:rFonts w:ascii="Arial Narrow" w:hAnsi="Arial Narrow" w:cs="Arial"/>
        </w:rPr>
      </w:pPr>
    </w:p>
    <w:p w14:paraId="323BB265" w14:textId="77777777" w:rsidR="00074645" w:rsidRPr="00042364" w:rsidRDefault="00074645" w:rsidP="00074645">
      <w:pPr>
        <w:widowControl w:val="0"/>
        <w:autoSpaceDE w:val="0"/>
        <w:autoSpaceDN w:val="0"/>
        <w:adjustRightInd w:val="0"/>
        <w:jc w:val="both"/>
        <w:rPr>
          <w:rFonts w:ascii="Arial Narrow" w:hAnsi="Arial Narrow" w:cs="Arial"/>
          <w:b/>
          <w:smallCaps/>
        </w:rPr>
      </w:pPr>
    </w:p>
    <w:p w14:paraId="3737967F" w14:textId="77777777" w:rsidR="00074645" w:rsidRPr="00042364" w:rsidRDefault="00074645" w:rsidP="00074645">
      <w:pPr>
        <w:pStyle w:val="Nadpis2"/>
        <w:jc w:val="both"/>
        <w:rPr>
          <w:rFonts w:ascii="Arial Narrow" w:hAnsi="Arial Narrow"/>
          <w:b w:val="0"/>
          <w:color w:val="auto"/>
          <w:sz w:val="22"/>
          <w:szCs w:val="22"/>
        </w:rPr>
      </w:pPr>
      <w:r w:rsidRPr="00042364">
        <w:rPr>
          <w:rFonts w:ascii="Arial Narrow" w:hAnsi="Arial Narrow"/>
          <w:b w:val="0"/>
          <w:color w:val="auto"/>
          <w:sz w:val="22"/>
          <w:szCs w:val="22"/>
        </w:rPr>
        <w:tab/>
      </w:r>
      <w:r w:rsidRPr="00042364">
        <w:rPr>
          <w:rFonts w:ascii="Arial Narrow" w:hAnsi="Arial Narrow"/>
          <w:b w:val="0"/>
          <w:color w:val="auto"/>
          <w:sz w:val="22"/>
          <w:szCs w:val="22"/>
        </w:rPr>
        <w:tab/>
      </w:r>
      <w:r w:rsidRPr="00042364">
        <w:rPr>
          <w:rFonts w:ascii="Arial Narrow" w:hAnsi="Arial Narrow"/>
          <w:b w:val="0"/>
          <w:color w:val="auto"/>
          <w:sz w:val="22"/>
          <w:szCs w:val="22"/>
        </w:rPr>
        <w:tab/>
      </w:r>
      <w:r w:rsidRPr="00042364">
        <w:rPr>
          <w:rFonts w:ascii="Arial Narrow" w:hAnsi="Arial Narrow"/>
          <w:b w:val="0"/>
          <w:color w:val="auto"/>
          <w:sz w:val="22"/>
          <w:szCs w:val="22"/>
        </w:rPr>
        <w:tab/>
      </w:r>
    </w:p>
    <w:p w14:paraId="6A955CC0" w14:textId="77777777" w:rsidR="00074645" w:rsidRPr="00042364" w:rsidRDefault="00074645" w:rsidP="00074645">
      <w:pPr>
        <w:pStyle w:val="Nadpis2"/>
        <w:jc w:val="both"/>
        <w:rPr>
          <w:rFonts w:ascii="Arial Narrow" w:hAnsi="Arial Narrow"/>
          <w:b w:val="0"/>
          <w:color w:val="auto"/>
          <w:sz w:val="22"/>
          <w:szCs w:val="22"/>
        </w:rPr>
      </w:pPr>
    </w:p>
    <w:p w14:paraId="7F14310D" w14:textId="77777777" w:rsidR="00074645" w:rsidRPr="00042364" w:rsidRDefault="00074645" w:rsidP="00074645">
      <w:pPr>
        <w:pStyle w:val="Nadpis2"/>
        <w:jc w:val="both"/>
        <w:rPr>
          <w:rFonts w:ascii="Arial Narrow" w:hAnsi="Arial Narrow"/>
          <w:b w:val="0"/>
          <w:color w:val="auto"/>
          <w:sz w:val="22"/>
          <w:szCs w:val="22"/>
        </w:rPr>
      </w:pPr>
    </w:p>
    <w:p w14:paraId="44AAB0DD" w14:textId="77777777" w:rsidR="00074645" w:rsidRPr="00042364" w:rsidRDefault="00074645" w:rsidP="00074645">
      <w:pPr>
        <w:rPr>
          <w:rFonts w:ascii="Arial Narrow" w:hAnsi="Arial Narrow"/>
        </w:rPr>
      </w:pPr>
    </w:p>
    <w:p w14:paraId="634FF2E9" w14:textId="77777777" w:rsidR="00074645" w:rsidRPr="00042364" w:rsidRDefault="00074645" w:rsidP="00074645">
      <w:pPr>
        <w:rPr>
          <w:rFonts w:ascii="Arial Narrow" w:hAnsi="Arial Narrow"/>
        </w:rPr>
      </w:pPr>
    </w:p>
    <w:p w14:paraId="0D26D2AD" w14:textId="77777777" w:rsidR="00074645" w:rsidRPr="00042364" w:rsidRDefault="00074645" w:rsidP="00074645">
      <w:pPr>
        <w:rPr>
          <w:rFonts w:ascii="Arial Narrow" w:hAnsi="Arial Narrow"/>
        </w:rPr>
      </w:pPr>
    </w:p>
    <w:p w14:paraId="256CFE42" w14:textId="77777777" w:rsidR="00074645" w:rsidRPr="00042364" w:rsidRDefault="00074645" w:rsidP="00074645">
      <w:pPr>
        <w:pStyle w:val="Nadpis2"/>
        <w:spacing w:before="0" w:line="240" w:lineRule="auto"/>
        <w:jc w:val="both"/>
        <w:rPr>
          <w:rFonts w:ascii="Arial Narrow" w:hAnsi="Arial Narrow"/>
          <w:b w:val="0"/>
          <w:color w:val="auto"/>
          <w:sz w:val="22"/>
          <w:szCs w:val="22"/>
        </w:rPr>
      </w:pPr>
    </w:p>
    <w:p w14:paraId="6162E16C" w14:textId="77777777" w:rsidR="00074645" w:rsidRPr="00042364" w:rsidRDefault="00074645" w:rsidP="00074645">
      <w:pPr>
        <w:pStyle w:val="Nadpis2"/>
        <w:spacing w:before="0" w:line="240" w:lineRule="auto"/>
        <w:jc w:val="both"/>
        <w:rPr>
          <w:rFonts w:ascii="Arial Narrow" w:hAnsi="Arial Narrow"/>
          <w:b w:val="0"/>
          <w:color w:val="auto"/>
          <w:sz w:val="22"/>
          <w:szCs w:val="22"/>
        </w:rPr>
      </w:pPr>
    </w:p>
    <w:p w14:paraId="296ED5F6" w14:textId="77777777" w:rsidR="00074645" w:rsidRPr="00042364" w:rsidRDefault="00074645" w:rsidP="00074645">
      <w:pPr>
        <w:pStyle w:val="Nadpis2"/>
        <w:spacing w:before="0" w:line="240" w:lineRule="auto"/>
        <w:jc w:val="both"/>
        <w:rPr>
          <w:rFonts w:ascii="Arial Narrow" w:hAnsi="Arial Narrow"/>
          <w:b w:val="0"/>
          <w:color w:val="auto"/>
          <w:sz w:val="22"/>
          <w:szCs w:val="22"/>
        </w:rPr>
      </w:pPr>
    </w:p>
    <w:p w14:paraId="1C12FD29" w14:textId="77777777" w:rsidR="00074645" w:rsidRPr="00042364" w:rsidRDefault="00074645" w:rsidP="00074645">
      <w:pPr>
        <w:pStyle w:val="Nadpis2"/>
        <w:spacing w:before="0" w:line="240" w:lineRule="auto"/>
        <w:jc w:val="both"/>
        <w:rPr>
          <w:rFonts w:ascii="Arial Narrow" w:hAnsi="Arial Narrow"/>
          <w:b w:val="0"/>
          <w:color w:val="auto"/>
          <w:sz w:val="22"/>
          <w:szCs w:val="22"/>
        </w:rPr>
      </w:pPr>
    </w:p>
    <w:p w14:paraId="1F86C99D" w14:textId="77777777" w:rsidR="00074645" w:rsidRPr="00042364" w:rsidRDefault="00074645" w:rsidP="00074645">
      <w:pPr>
        <w:pStyle w:val="Nadpis2"/>
        <w:spacing w:before="0" w:line="240" w:lineRule="auto"/>
        <w:jc w:val="both"/>
        <w:rPr>
          <w:rFonts w:ascii="Arial Narrow" w:hAnsi="Arial Narrow"/>
          <w:b w:val="0"/>
          <w:color w:val="auto"/>
          <w:sz w:val="22"/>
          <w:szCs w:val="22"/>
        </w:rPr>
      </w:pPr>
    </w:p>
    <w:p w14:paraId="10F15CF6" w14:textId="77777777" w:rsidR="00074645" w:rsidRPr="00042364" w:rsidRDefault="00074645" w:rsidP="00074645">
      <w:pPr>
        <w:pStyle w:val="Nadpis2"/>
        <w:spacing w:before="0" w:line="240" w:lineRule="auto"/>
        <w:jc w:val="both"/>
        <w:rPr>
          <w:rFonts w:ascii="Arial Narrow" w:hAnsi="Arial Narrow"/>
          <w:b w:val="0"/>
          <w:color w:val="auto"/>
          <w:sz w:val="22"/>
          <w:szCs w:val="22"/>
        </w:rPr>
      </w:pPr>
    </w:p>
    <w:p w14:paraId="16880371" w14:textId="77777777" w:rsidR="00074645" w:rsidRPr="00042364" w:rsidRDefault="00074645" w:rsidP="00074645">
      <w:pPr>
        <w:pStyle w:val="Nadpis2"/>
        <w:spacing w:before="0" w:line="240" w:lineRule="auto"/>
        <w:jc w:val="both"/>
        <w:rPr>
          <w:rFonts w:ascii="Arial Narrow" w:hAnsi="Arial Narrow"/>
          <w:b w:val="0"/>
          <w:color w:val="auto"/>
          <w:sz w:val="22"/>
          <w:szCs w:val="22"/>
        </w:rPr>
      </w:pPr>
    </w:p>
    <w:p w14:paraId="7AF8B0C2" w14:textId="77777777" w:rsidR="00074645" w:rsidRPr="00042364" w:rsidRDefault="00074645" w:rsidP="00074645">
      <w:pPr>
        <w:pStyle w:val="Nadpis2"/>
        <w:jc w:val="both"/>
        <w:rPr>
          <w:rFonts w:ascii="Arial Narrow" w:hAnsi="Arial Narrow"/>
          <w:b w:val="0"/>
          <w:color w:val="auto"/>
          <w:sz w:val="22"/>
          <w:szCs w:val="22"/>
        </w:rPr>
      </w:pPr>
      <w:r w:rsidRPr="00042364">
        <w:rPr>
          <w:rFonts w:ascii="Arial Narrow" w:hAnsi="Arial Narrow"/>
          <w:b w:val="0"/>
          <w:color w:val="auto"/>
          <w:sz w:val="22"/>
          <w:szCs w:val="22"/>
        </w:rPr>
        <w:tab/>
      </w:r>
    </w:p>
    <w:p w14:paraId="31A1F0D9" w14:textId="77777777" w:rsidR="00074645" w:rsidRPr="00042364" w:rsidRDefault="00074645" w:rsidP="00074645">
      <w:pPr>
        <w:rPr>
          <w:rFonts w:ascii="Arial Narrow" w:hAnsi="Arial Narrow"/>
        </w:rPr>
      </w:pPr>
    </w:p>
    <w:p w14:paraId="2CA17DBD" w14:textId="77777777" w:rsidR="00074645" w:rsidRPr="00042364" w:rsidRDefault="00074645" w:rsidP="00074645">
      <w:pPr>
        <w:pStyle w:val="Nadpis2"/>
        <w:jc w:val="both"/>
        <w:rPr>
          <w:rFonts w:ascii="Arial Narrow" w:hAnsi="Arial Narrow"/>
          <w:b w:val="0"/>
          <w:color w:val="auto"/>
          <w:sz w:val="22"/>
          <w:szCs w:val="22"/>
        </w:rPr>
      </w:pPr>
      <w:r w:rsidRPr="00042364">
        <w:rPr>
          <w:rFonts w:ascii="Arial Narrow" w:hAnsi="Arial Narrow"/>
          <w:b w:val="0"/>
          <w:color w:val="auto"/>
          <w:sz w:val="22"/>
          <w:szCs w:val="22"/>
        </w:rPr>
        <w:lastRenderedPageBreak/>
        <w:tab/>
      </w:r>
      <w:r w:rsidRPr="00042364">
        <w:rPr>
          <w:rFonts w:ascii="Arial Narrow" w:hAnsi="Arial Narrow"/>
          <w:b w:val="0"/>
          <w:color w:val="auto"/>
          <w:sz w:val="22"/>
          <w:szCs w:val="22"/>
        </w:rPr>
        <w:tab/>
      </w:r>
      <w:r w:rsidRPr="00042364">
        <w:rPr>
          <w:rFonts w:ascii="Arial Narrow" w:hAnsi="Arial Narrow"/>
          <w:b w:val="0"/>
          <w:color w:val="auto"/>
          <w:sz w:val="22"/>
          <w:szCs w:val="22"/>
        </w:rPr>
        <w:tab/>
      </w:r>
      <w:r w:rsidRPr="00042364">
        <w:rPr>
          <w:rFonts w:ascii="Arial Narrow" w:hAnsi="Arial Narrow"/>
          <w:b w:val="0"/>
          <w:color w:val="auto"/>
          <w:sz w:val="22"/>
          <w:szCs w:val="22"/>
        </w:rPr>
        <w:tab/>
      </w:r>
      <w:r w:rsidRPr="00042364">
        <w:rPr>
          <w:rFonts w:ascii="Arial Narrow" w:hAnsi="Arial Narrow"/>
          <w:b w:val="0"/>
          <w:color w:val="auto"/>
          <w:sz w:val="22"/>
          <w:szCs w:val="22"/>
        </w:rPr>
        <w:tab/>
      </w:r>
      <w:r w:rsidRPr="00042364">
        <w:rPr>
          <w:rFonts w:ascii="Arial Narrow" w:hAnsi="Arial Narrow"/>
          <w:b w:val="0"/>
          <w:color w:val="auto"/>
          <w:sz w:val="22"/>
          <w:szCs w:val="22"/>
        </w:rPr>
        <w:tab/>
      </w:r>
      <w:r w:rsidRPr="00042364">
        <w:rPr>
          <w:rFonts w:ascii="Arial Narrow" w:hAnsi="Arial Narrow"/>
          <w:b w:val="0"/>
          <w:color w:val="auto"/>
          <w:sz w:val="22"/>
          <w:szCs w:val="22"/>
        </w:rPr>
        <w:tab/>
      </w:r>
      <w:r w:rsidRPr="00042364">
        <w:rPr>
          <w:rFonts w:ascii="Arial Narrow" w:hAnsi="Arial Narrow"/>
          <w:b w:val="0"/>
          <w:color w:val="auto"/>
          <w:sz w:val="22"/>
          <w:szCs w:val="22"/>
        </w:rPr>
        <w:tab/>
        <w:t xml:space="preserve">Príloha č. 5 súťažných podkladov </w:t>
      </w:r>
    </w:p>
    <w:p w14:paraId="4A618B62" w14:textId="77777777" w:rsidR="00074645" w:rsidRPr="00042364" w:rsidRDefault="00074645" w:rsidP="00074645">
      <w:pPr>
        <w:pStyle w:val="Nadpis2"/>
        <w:jc w:val="both"/>
        <w:rPr>
          <w:rFonts w:ascii="Arial Narrow" w:hAnsi="Arial Narrow"/>
          <w:color w:val="auto"/>
          <w:sz w:val="22"/>
          <w:szCs w:val="22"/>
        </w:rPr>
      </w:pPr>
      <w:r w:rsidRPr="00042364">
        <w:rPr>
          <w:rFonts w:ascii="Arial Narrow" w:hAnsi="Arial Narrow"/>
          <w:color w:val="auto"/>
          <w:sz w:val="22"/>
          <w:szCs w:val="22"/>
        </w:rPr>
        <w:t>Podmienky účasti</w:t>
      </w:r>
    </w:p>
    <w:p w14:paraId="1B2D12A2" w14:textId="77777777" w:rsidR="00074645" w:rsidRPr="00042364" w:rsidRDefault="00074645" w:rsidP="00074645">
      <w:pPr>
        <w:pStyle w:val="Nadpis2"/>
        <w:spacing w:line="240" w:lineRule="auto"/>
        <w:ind w:left="567"/>
        <w:jc w:val="both"/>
        <w:rPr>
          <w:rFonts w:ascii="Arial Narrow" w:hAnsi="Arial Narrow"/>
          <w:sz w:val="22"/>
          <w:szCs w:val="22"/>
        </w:rPr>
      </w:pPr>
    </w:p>
    <w:p w14:paraId="2B309723" w14:textId="77777777" w:rsidR="00074645" w:rsidRPr="00042364" w:rsidRDefault="00074645" w:rsidP="00074645">
      <w:pPr>
        <w:pStyle w:val="Nadpis2"/>
        <w:numPr>
          <w:ilvl w:val="0"/>
          <w:numId w:val="1"/>
        </w:numPr>
        <w:spacing w:before="0" w:line="240" w:lineRule="auto"/>
        <w:ind w:left="567" w:hanging="567"/>
        <w:jc w:val="both"/>
        <w:rPr>
          <w:rFonts w:ascii="Arial Narrow" w:hAnsi="Arial Narrow"/>
          <w:sz w:val="22"/>
          <w:szCs w:val="22"/>
        </w:rPr>
      </w:pPr>
      <w:r w:rsidRPr="00042364">
        <w:rPr>
          <w:rFonts w:ascii="Arial Narrow" w:hAnsi="Arial Narrow"/>
          <w:sz w:val="22"/>
          <w:szCs w:val="22"/>
        </w:rPr>
        <w:t xml:space="preserve">OSOBNÉ POSTAVENIE </w:t>
      </w:r>
    </w:p>
    <w:p w14:paraId="0222DBBB" w14:textId="77777777" w:rsidR="00074645" w:rsidRPr="00042364" w:rsidRDefault="00074645" w:rsidP="00074645">
      <w:pPr>
        <w:pStyle w:val="Nadpis2"/>
        <w:spacing w:before="0" w:line="240" w:lineRule="auto"/>
        <w:ind w:left="567"/>
        <w:jc w:val="both"/>
        <w:rPr>
          <w:rFonts w:ascii="Arial Narrow" w:hAnsi="Arial Narrow"/>
          <w:sz w:val="22"/>
          <w:szCs w:val="22"/>
        </w:rPr>
      </w:pPr>
      <w:r w:rsidRPr="00042364">
        <w:rPr>
          <w:rFonts w:ascii="Arial Narrow" w:hAnsi="Arial Narrow"/>
          <w:sz w:val="22"/>
          <w:szCs w:val="22"/>
        </w:rPr>
        <w:t xml:space="preserve">Podľa § 32 zákona </w:t>
      </w:r>
    </w:p>
    <w:p w14:paraId="0202B0A7"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Verejného obstarávania sa môže zúčastniť hospodársky subjekt, ktorý spĺňa taxatívne určené podmienky účasti týkajúce sa osobného postavenia podľa § 32 ods. 1 zákona.</w:t>
      </w:r>
    </w:p>
    <w:p w14:paraId="3C3FA845"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Uchádzač preukáže splnenie podmienok účasti týkajúcich sa osobného postavenia podľa § 32 ods. 1 zákona dokladmi podľa § 32 ods. 2, resp. podľa § 32 ods. 4 a 5 zákona.</w:t>
      </w:r>
    </w:p>
    <w:p w14:paraId="71274259"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Hospodársky subjekt môže predbežne nahradiť doklady na preukázanie splnenia podmienok účasti jednotným európskym dokumentom podľa § 39 ods. 1 zákona.</w:t>
      </w:r>
    </w:p>
    <w:p w14:paraId="0A2934AA"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 xml:space="preserve">Preukazovanie podmienok účasti je voči verejnému obstarávateľovi účinné aj spôsobom podľa § 152 ods. 4 zákona. </w:t>
      </w:r>
    </w:p>
    <w:p w14:paraId="69D619A0"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Uchádzač zapísaný v zozname hospodárskych subjektov podľa zákona nie je povinný v procese verejného obstarávania predkladať doklady podľa § 32 ods. 2 zákona.</w:t>
      </w:r>
    </w:p>
    <w:p w14:paraId="55A1EDFC"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4033B4BD"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V prípade, že sa verejného obstarávania zúčastní skupina dodávateľov, požaduje sa preukázanie splnenia podmienok účasti týkajúcich sa osobného postavenia za každého člena skupiny osobitne.</w:t>
      </w:r>
    </w:p>
    <w:p w14:paraId="1AA9887C"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Splnenie podmienky účasti podľa § 32 ods.1 písm. e) zákona preukazuje člen skupiny len vo vzťahu k tej časti predmetu zákazky, ktorú má zabezpečiť.</w:t>
      </w:r>
    </w:p>
    <w:p w14:paraId="74E5BE02" w14:textId="77777777" w:rsidR="00883E36" w:rsidRPr="00CC168A" w:rsidRDefault="00883E36" w:rsidP="00883E36">
      <w:pPr>
        <w:autoSpaceDE w:val="0"/>
        <w:autoSpaceDN w:val="0"/>
        <w:adjustRightInd w:val="0"/>
        <w:ind w:left="567"/>
        <w:jc w:val="both"/>
        <w:rPr>
          <w:rFonts w:ascii="Arial Narrow" w:hAnsi="Arial Narrow" w:cs="Tahoma"/>
        </w:rPr>
      </w:pPr>
    </w:p>
    <w:p w14:paraId="2CB73F13" w14:textId="77777777" w:rsidR="00883E36" w:rsidRPr="00CC168A" w:rsidRDefault="00883E36" w:rsidP="00883E36">
      <w:pPr>
        <w:ind w:left="567"/>
        <w:jc w:val="both"/>
        <w:rPr>
          <w:rFonts w:ascii="Arial Narrow" w:hAnsi="Arial Narrow"/>
        </w:rPr>
      </w:pPr>
      <w:r w:rsidRPr="00CC168A">
        <w:rPr>
          <w:rFonts w:ascii="Arial Narrow" w:hAnsi="Arial Narrow"/>
        </w:rPr>
        <w:t xml:space="preserve">S ohľadom na to, že z technických dôvodov nie je možné získať údaje alebo výpisy z informačných systémov Generálnej prokuratúry, predkladá uchádzač alebo záujemca doklady podľa § 32 ods. 1 a) zákona č 343/2015 o verejnom obstarávaní vo forme </w:t>
      </w:r>
      <w:proofErr w:type="spellStart"/>
      <w:r w:rsidRPr="00CC168A">
        <w:rPr>
          <w:rFonts w:ascii="Arial Narrow" w:hAnsi="Arial Narrow"/>
        </w:rPr>
        <w:t>skenu</w:t>
      </w:r>
      <w:proofErr w:type="spellEnd"/>
      <w:r w:rsidRPr="00CC168A">
        <w:rPr>
          <w:rFonts w:ascii="Arial Narrow" w:hAnsi="Arial Narrow"/>
        </w:rPr>
        <w:t xml:space="preserve"> dokumentu vydaného v listinnej podobe, a to v súlade s ustanovením § 1 ods. 6 zákona č. 177/2018 Z. z. o niektorých opatreniach na znižovanie administratívnej záťaže využívaním informačných systémov verejnej správy a o zmene a doplnení niektorých zákonov (zákon proti byrokracii). </w:t>
      </w:r>
    </w:p>
    <w:p w14:paraId="0CFB8868" w14:textId="77777777" w:rsidR="00883E36" w:rsidRPr="00CC168A" w:rsidRDefault="00883E36" w:rsidP="00883E36">
      <w:pPr>
        <w:autoSpaceDE w:val="0"/>
        <w:autoSpaceDN w:val="0"/>
        <w:adjustRightInd w:val="0"/>
        <w:ind w:left="567"/>
        <w:jc w:val="both"/>
        <w:rPr>
          <w:rFonts w:ascii="Arial Narrow" w:hAnsi="Arial Narrow" w:cs="Tahoma"/>
        </w:rPr>
      </w:pPr>
    </w:p>
    <w:p w14:paraId="28ACC2B8"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Doklady, ktoré sa nepredkladajú:</w:t>
      </w:r>
    </w:p>
    <w:p w14:paraId="06B6C485" w14:textId="77777777" w:rsidR="00883E36" w:rsidRPr="00CC168A" w:rsidRDefault="00883E36" w:rsidP="00883E36">
      <w:pPr>
        <w:autoSpaceDE w:val="0"/>
        <w:autoSpaceDN w:val="0"/>
        <w:adjustRightInd w:val="0"/>
        <w:ind w:left="567"/>
        <w:jc w:val="both"/>
        <w:rPr>
          <w:rFonts w:ascii="Arial Narrow" w:hAnsi="Arial Narrow" w:cs="Tahoma"/>
        </w:rPr>
      </w:pPr>
      <w:r w:rsidRPr="00CC168A">
        <w:rPr>
          <w:rFonts w:ascii="Arial Narrow" w:hAnsi="Arial Narrow" w:cs="Tahoma"/>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1E4B7171" w14:textId="77777777" w:rsidR="00FE5A26" w:rsidRPr="00042364" w:rsidRDefault="00FE5A26" w:rsidP="00074645">
      <w:pPr>
        <w:autoSpaceDE w:val="0"/>
        <w:autoSpaceDN w:val="0"/>
        <w:adjustRightInd w:val="0"/>
        <w:ind w:left="567"/>
        <w:jc w:val="both"/>
        <w:rPr>
          <w:rFonts w:ascii="Arial Narrow" w:hAnsi="Arial Narrow" w:cs="Tahoma"/>
        </w:rPr>
      </w:pPr>
      <w:bookmarkStart w:id="0" w:name="_GoBack"/>
      <w:bookmarkEnd w:id="0"/>
    </w:p>
    <w:p w14:paraId="19308D6E" w14:textId="77777777" w:rsidR="00074645" w:rsidRPr="00042364" w:rsidRDefault="00074645" w:rsidP="00074645">
      <w:pPr>
        <w:ind w:left="567"/>
        <w:jc w:val="both"/>
        <w:rPr>
          <w:rFonts w:ascii="Arial Narrow" w:hAnsi="Arial Narrow"/>
        </w:rPr>
      </w:pPr>
      <w:r w:rsidRPr="00042364">
        <w:rPr>
          <w:rFonts w:ascii="Arial Narrow" w:hAnsi="Arial Narrow"/>
          <w:b/>
        </w:rPr>
        <w:tab/>
      </w:r>
      <w:r w:rsidRPr="00042364">
        <w:rPr>
          <w:rFonts w:ascii="Arial Narrow" w:hAnsi="Arial Narrow"/>
          <w:b/>
        </w:rPr>
        <w:tab/>
      </w:r>
      <w:r w:rsidRPr="00042364">
        <w:rPr>
          <w:rFonts w:ascii="Arial Narrow" w:hAnsi="Arial Narrow"/>
          <w:b/>
        </w:rPr>
        <w:tab/>
      </w:r>
    </w:p>
    <w:p w14:paraId="76AE7A0B" w14:textId="77777777" w:rsidR="00074645" w:rsidRPr="00042364" w:rsidRDefault="00074645" w:rsidP="00074645">
      <w:pPr>
        <w:pStyle w:val="Nadpis2"/>
        <w:numPr>
          <w:ilvl w:val="0"/>
          <w:numId w:val="1"/>
        </w:numPr>
        <w:spacing w:before="0" w:line="240" w:lineRule="auto"/>
        <w:ind w:left="567" w:hanging="567"/>
        <w:jc w:val="both"/>
        <w:rPr>
          <w:rFonts w:ascii="Arial Narrow" w:hAnsi="Arial Narrow"/>
          <w:sz w:val="22"/>
          <w:szCs w:val="22"/>
        </w:rPr>
      </w:pPr>
      <w:r w:rsidRPr="00042364">
        <w:rPr>
          <w:rFonts w:ascii="Arial Narrow" w:hAnsi="Arial Narrow"/>
          <w:sz w:val="22"/>
          <w:szCs w:val="22"/>
        </w:rPr>
        <w:t>Technická a odborná spôsobilosť podľa § 34 zákona</w:t>
      </w:r>
    </w:p>
    <w:p w14:paraId="1E8CE3F8" w14:textId="77777777" w:rsidR="00074645" w:rsidRPr="00042364" w:rsidRDefault="00074645" w:rsidP="00074645">
      <w:pPr>
        <w:pStyle w:val="Nadpis2"/>
        <w:spacing w:before="0" w:line="240" w:lineRule="auto"/>
        <w:ind w:left="567"/>
        <w:jc w:val="both"/>
        <w:rPr>
          <w:rFonts w:ascii="Arial Narrow" w:hAnsi="Arial Narrow"/>
          <w:b w:val="0"/>
          <w:color w:val="auto"/>
          <w:sz w:val="22"/>
          <w:szCs w:val="22"/>
        </w:rPr>
      </w:pPr>
      <w:r w:rsidRPr="00042364">
        <w:rPr>
          <w:rFonts w:ascii="Arial Narrow" w:hAnsi="Arial Narrow"/>
          <w:b w:val="0"/>
          <w:color w:val="auto"/>
          <w:sz w:val="22"/>
          <w:szCs w:val="22"/>
        </w:rPr>
        <w:t xml:space="preserve">Podmienky účasti uchádzačov vo verejnom obstarávaní týkajúce sa technickej spôsobilosti a odbornej spôsobilosti podľa § 34 zákona. </w:t>
      </w:r>
    </w:p>
    <w:p w14:paraId="1E127132" w14:textId="77777777" w:rsidR="00074645" w:rsidRPr="00042364" w:rsidRDefault="00074645" w:rsidP="00074645">
      <w:pPr>
        <w:ind w:left="567"/>
        <w:jc w:val="both"/>
        <w:rPr>
          <w:rFonts w:ascii="Arial Narrow" w:hAnsi="Arial Narrow"/>
          <w:b/>
        </w:rPr>
      </w:pPr>
      <w:r w:rsidRPr="00042364">
        <w:rPr>
          <w:rFonts w:ascii="Arial Narrow" w:hAnsi="Arial Narrow"/>
          <w:b/>
        </w:rPr>
        <w:t xml:space="preserve">Uchádzač preukazuje technickú spôsobilosť a odbornú spôsobilosť: </w:t>
      </w:r>
    </w:p>
    <w:p w14:paraId="448D454F" w14:textId="77777777" w:rsidR="00074645" w:rsidRPr="00042364" w:rsidRDefault="00074645" w:rsidP="00074645">
      <w:pPr>
        <w:ind w:left="567"/>
        <w:jc w:val="both"/>
        <w:rPr>
          <w:rFonts w:ascii="Arial Narrow" w:hAnsi="Arial Narrow"/>
          <w:b/>
        </w:rPr>
      </w:pPr>
    </w:p>
    <w:p w14:paraId="7AA8BFBD" w14:textId="1634FFF4" w:rsidR="00074645" w:rsidRPr="00042364" w:rsidRDefault="00074645" w:rsidP="00074645">
      <w:pPr>
        <w:ind w:left="567"/>
        <w:jc w:val="both"/>
        <w:rPr>
          <w:rFonts w:ascii="Arial Narrow" w:hAnsi="Arial Narrow"/>
          <w:b/>
        </w:rPr>
      </w:pPr>
      <w:r w:rsidRPr="00042364">
        <w:rPr>
          <w:rFonts w:ascii="Arial Narrow" w:hAnsi="Arial Narrow"/>
          <w:b/>
        </w:rPr>
        <w:t xml:space="preserve">podľa § 34 ods.1 písm. a) zákona - </w:t>
      </w:r>
      <w:r w:rsidRPr="00042364">
        <w:rPr>
          <w:rFonts w:ascii="Arial Narrow" w:hAnsi="Arial Narrow"/>
        </w:rPr>
        <w:t>verejný obstarávateľ požaduje predložiť zoznam dodaných tovarov za predchádzajúce tri roky (36 mesiacov) od vyhlásenia verejného obstarávania (ďalej len "rozhodné obdobie") s uvedením cien, lehôt dodania a odberateľov; dokladom je referencia, ak odberateľom bol verejný obstarávateľ alebo obstarávateľ podľa zákona.</w:t>
      </w:r>
      <w:r w:rsidRPr="00042364">
        <w:rPr>
          <w:rFonts w:ascii="Arial Narrow" w:hAnsi="Arial Narrow" w:cstheme="minorHAnsi"/>
        </w:rPr>
        <w:t xml:space="preserve"> Za vyhlásenie verejného obstarávania sa považuje zverejnenie oznámenia o vyhlásení verejného obstarávania v Úradnom vestníku EÚ</w:t>
      </w:r>
      <w:r w:rsidR="00042364" w:rsidRPr="00042364">
        <w:rPr>
          <w:rFonts w:ascii="Arial Narrow" w:hAnsi="Arial Narrow" w:cstheme="minorHAnsi"/>
        </w:rPr>
        <w:t>.</w:t>
      </w:r>
    </w:p>
    <w:p w14:paraId="36D09FE9" w14:textId="77777777" w:rsidR="00074645" w:rsidRPr="00042364" w:rsidRDefault="00074645" w:rsidP="00074645">
      <w:pPr>
        <w:pStyle w:val="Nadpis3"/>
        <w:spacing w:before="0" w:line="240" w:lineRule="auto"/>
        <w:ind w:left="567"/>
        <w:jc w:val="both"/>
        <w:rPr>
          <w:rFonts w:ascii="Arial Narrow" w:hAnsi="Arial Narrow"/>
        </w:rPr>
      </w:pPr>
    </w:p>
    <w:p w14:paraId="7C9376FF" w14:textId="77777777" w:rsidR="00074645" w:rsidRPr="00042364" w:rsidRDefault="00074645" w:rsidP="00074645">
      <w:pPr>
        <w:pStyle w:val="Nadpis3"/>
        <w:spacing w:before="0" w:line="240" w:lineRule="auto"/>
        <w:ind w:left="567"/>
        <w:jc w:val="both"/>
        <w:rPr>
          <w:rFonts w:ascii="Arial Narrow" w:hAnsi="Arial Narrow"/>
        </w:rPr>
      </w:pPr>
    </w:p>
    <w:p w14:paraId="40490E2C" w14:textId="77777777" w:rsidR="00074645" w:rsidRPr="00042364" w:rsidRDefault="00074645" w:rsidP="00074645">
      <w:pPr>
        <w:pStyle w:val="Nadpis3"/>
        <w:spacing w:before="0" w:line="240" w:lineRule="auto"/>
        <w:ind w:left="567"/>
        <w:jc w:val="both"/>
        <w:rPr>
          <w:rFonts w:ascii="Arial Narrow" w:hAnsi="Arial Narrow"/>
        </w:rPr>
      </w:pPr>
      <w:r w:rsidRPr="00042364">
        <w:rPr>
          <w:rFonts w:ascii="Arial Narrow" w:hAnsi="Arial Narrow"/>
        </w:rPr>
        <w:t>Minimálna požadovaná úroveň štandardov:</w:t>
      </w:r>
    </w:p>
    <w:p w14:paraId="4DB17970" w14:textId="77777777" w:rsidR="00074645" w:rsidRPr="00042364" w:rsidRDefault="00074645" w:rsidP="00074645">
      <w:pPr>
        <w:jc w:val="both"/>
        <w:rPr>
          <w:rFonts w:ascii="Arial Narrow" w:hAnsi="Arial Narrow" w:cs="Tahoma"/>
        </w:rPr>
      </w:pPr>
    </w:p>
    <w:p w14:paraId="2C8C9428" w14:textId="0E878A15" w:rsidR="00074645" w:rsidRPr="00042364" w:rsidRDefault="00074645" w:rsidP="00074645">
      <w:pPr>
        <w:pStyle w:val="Odsekzoznamu"/>
        <w:ind w:left="567"/>
        <w:jc w:val="both"/>
        <w:rPr>
          <w:rFonts w:ascii="Arial Narrow" w:hAnsi="Arial Narrow" w:cstheme="minorHAnsi"/>
        </w:rPr>
      </w:pPr>
      <w:r w:rsidRPr="00042364">
        <w:rPr>
          <w:rFonts w:ascii="Arial Narrow" w:hAnsi="Arial Narrow" w:cstheme="minorHAnsi"/>
        </w:rPr>
        <w:lastRenderedPageBreak/>
        <w:t xml:space="preserve">Splnenie vyššie uvedeného uchádzač preukáže predložením zoznamu dodávok tovaru za predchádzajúce tri roky od vyhlásenia verejného obstarávania, potvrdzujúce dodanie tovaru rovnakého alebo obdobného charakteru ako je predmet zákazky, ktorým preukáže, že za rozhodné </w:t>
      </w:r>
      <w:r w:rsidRPr="009B4DD5">
        <w:rPr>
          <w:rFonts w:ascii="Arial Narrow" w:hAnsi="Arial Narrow" w:cstheme="minorHAnsi"/>
        </w:rPr>
        <w:t xml:space="preserve">obdobie realizoval dodávku </w:t>
      </w:r>
      <w:r w:rsidR="00D8750E">
        <w:rPr>
          <w:rFonts w:ascii="Arial Narrow" w:hAnsi="Arial Narrow" w:cstheme="minorHAnsi"/>
        </w:rPr>
        <w:t xml:space="preserve">osobných motorových vozidiel </w:t>
      </w:r>
      <w:r w:rsidRPr="009B4DD5">
        <w:rPr>
          <w:rFonts w:ascii="Arial Narrow" w:hAnsi="Arial Narrow" w:cstheme="minorHAnsi"/>
        </w:rPr>
        <w:t>v celkovej hodnote minimálne 1</w:t>
      </w:r>
      <w:r w:rsidR="00497A9A">
        <w:rPr>
          <w:rFonts w:ascii="Arial Narrow" w:hAnsi="Arial Narrow" w:cstheme="minorHAnsi"/>
        </w:rPr>
        <w:t>25</w:t>
      </w:r>
      <w:r w:rsidRPr="009B4DD5">
        <w:rPr>
          <w:rFonts w:ascii="Arial Narrow" w:hAnsi="Arial Narrow" w:cstheme="minorHAnsi"/>
        </w:rPr>
        <w:t> 000 EUR bez DPH</w:t>
      </w:r>
      <w:r w:rsidR="00D8750E">
        <w:rPr>
          <w:rFonts w:ascii="Arial Narrow" w:hAnsi="Arial Narrow" w:cstheme="minorHAnsi"/>
        </w:rPr>
        <w:t>.</w:t>
      </w:r>
      <w:r w:rsidR="00FC61B6" w:rsidRPr="009B4DD5">
        <w:rPr>
          <w:rFonts w:ascii="Arial Narrow" w:hAnsi="Arial Narrow" w:cstheme="minorHAnsi"/>
        </w:rPr>
        <w:t xml:space="preserve"> </w:t>
      </w:r>
    </w:p>
    <w:p w14:paraId="281C8D89" w14:textId="77777777" w:rsidR="00074645" w:rsidRPr="00042364" w:rsidRDefault="00074645" w:rsidP="00074645">
      <w:pPr>
        <w:pStyle w:val="Odsekzoznamu"/>
        <w:ind w:left="567"/>
        <w:jc w:val="both"/>
        <w:rPr>
          <w:rFonts w:ascii="Arial Narrow" w:hAnsi="Arial Narrow" w:cstheme="minorHAnsi"/>
        </w:rPr>
      </w:pPr>
    </w:p>
    <w:p w14:paraId="6A6E93CA" w14:textId="77777777" w:rsidR="00074645" w:rsidRPr="00042364" w:rsidRDefault="00074645" w:rsidP="00074645">
      <w:pPr>
        <w:pStyle w:val="Odsekzoznamu"/>
        <w:ind w:left="567"/>
        <w:jc w:val="both"/>
        <w:rPr>
          <w:rFonts w:ascii="Arial Narrow" w:hAnsi="Arial Narrow" w:cs="Tahoma"/>
          <w:i/>
          <w:color w:val="FF0000"/>
        </w:rPr>
      </w:pPr>
      <w:r w:rsidRPr="00042364">
        <w:rPr>
          <w:rFonts w:ascii="Arial Narrow" w:hAnsi="Arial Narrow" w:cstheme="minorHAnsi"/>
        </w:rPr>
        <w:t>Pri prepočte inej meny na menu euro sa použije kurz Európskej centrálnej banky platný v deň odoslania tohto oznámenia o vyhlásení verejného obstarávania na uverejnenie v Úradnom vestníku EÚ.</w:t>
      </w:r>
      <w:r w:rsidRPr="00042364">
        <w:rPr>
          <w:rFonts w:ascii="Arial Narrow" w:hAnsi="Arial Narrow" w:cs="Tahoma"/>
          <w:i/>
          <w:color w:val="FF0000"/>
        </w:rPr>
        <w:t xml:space="preserve"> </w:t>
      </w:r>
    </w:p>
    <w:p w14:paraId="2F28901D" w14:textId="77777777" w:rsidR="00074645" w:rsidRPr="00042364" w:rsidRDefault="00074645" w:rsidP="00074645">
      <w:pPr>
        <w:pStyle w:val="Odsekzoznamu"/>
        <w:ind w:left="567"/>
        <w:jc w:val="both"/>
        <w:rPr>
          <w:rFonts w:ascii="Arial Narrow" w:hAnsi="Arial Narrow" w:cs="Tahoma"/>
        </w:rPr>
      </w:pPr>
    </w:p>
    <w:p w14:paraId="422D794F" w14:textId="1CA09F11" w:rsidR="00074645" w:rsidRPr="00042364" w:rsidRDefault="00074645" w:rsidP="00074645">
      <w:pPr>
        <w:autoSpaceDE w:val="0"/>
        <w:autoSpaceDN w:val="0"/>
        <w:adjustRightInd w:val="0"/>
        <w:ind w:left="567"/>
        <w:jc w:val="both"/>
        <w:rPr>
          <w:rFonts w:ascii="Arial Narrow" w:hAnsi="Arial Narrow" w:cs="Tahoma"/>
        </w:rPr>
      </w:pPr>
      <w:r w:rsidRPr="00042364">
        <w:rPr>
          <w:rFonts w:ascii="Arial Narrow" w:hAnsi="Arial Narrow" w:cs="Tahoma"/>
        </w:rPr>
        <w:t xml:space="preserve">Zo zoznamu dodávok tovaru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 </w:t>
      </w:r>
    </w:p>
    <w:p w14:paraId="65939E31" w14:textId="77777777" w:rsidR="00074645" w:rsidRPr="00042364" w:rsidRDefault="00074645" w:rsidP="00074645">
      <w:pPr>
        <w:autoSpaceDE w:val="0"/>
        <w:autoSpaceDN w:val="0"/>
        <w:adjustRightInd w:val="0"/>
        <w:ind w:left="567"/>
        <w:jc w:val="both"/>
        <w:rPr>
          <w:rFonts w:ascii="Arial Narrow" w:hAnsi="Arial Narrow" w:cs="Tahoma"/>
        </w:rPr>
      </w:pPr>
    </w:p>
    <w:p w14:paraId="6B28BD7A" w14:textId="77777777" w:rsidR="00074645" w:rsidRPr="00042364" w:rsidRDefault="00074645" w:rsidP="00074645">
      <w:pPr>
        <w:autoSpaceDE w:val="0"/>
        <w:autoSpaceDN w:val="0"/>
        <w:adjustRightInd w:val="0"/>
        <w:ind w:left="567"/>
        <w:jc w:val="both"/>
        <w:rPr>
          <w:rFonts w:ascii="Arial Narrow" w:hAnsi="Arial Narrow" w:cs="Tahoma"/>
        </w:rPr>
      </w:pPr>
      <w:r w:rsidRPr="00042364">
        <w:rPr>
          <w:rFonts w:ascii="Arial Narrow" w:hAnsi="Arial Narrow" w:cs="Tahoma"/>
        </w:rPr>
        <w:t>Ak odberateľom bol verejný obstarávateľ alebo obstarávateľ podľa tohto zákona, súčasťou zoznamu dodávok tovaru musia byť referencia/referencie alebo ekvivalentný/ekvivalentné doklad/doklady v súlade so zákonom.</w:t>
      </w:r>
    </w:p>
    <w:p w14:paraId="14F9DEF2" w14:textId="77777777" w:rsidR="00074645" w:rsidRPr="00042364" w:rsidRDefault="00074645" w:rsidP="00074645">
      <w:pPr>
        <w:rPr>
          <w:rFonts w:ascii="Arial Narrow" w:hAnsi="Arial Narrow"/>
        </w:rPr>
      </w:pPr>
      <w:r w:rsidRPr="00042364">
        <w:rPr>
          <w:rFonts w:ascii="Arial Narrow" w:hAnsi="Arial Narrow"/>
          <w:b/>
          <w:bCs/>
        </w:rPr>
        <w:tab/>
      </w:r>
    </w:p>
    <w:p w14:paraId="50EA9380" w14:textId="77777777" w:rsidR="00074645" w:rsidRPr="00042364" w:rsidRDefault="00074645" w:rsidP="00074645">
      <w:pPr>
        <w:ind w:left="567"/>
        <w:jc w:val="both"/>
        <w:rPr>
          <w:rFonts w:ascii="Arial Narrow" w:hAnsi="Arial Narrow"/>
        </w:rPr>
      </w:pPr>
      <w:r w:rsidRPr="00042364">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poskytovať službu preukazuje vo vzťahu k tej časti predmetu zákazky, na ktorú boli kapacity uchádzačovi poskytnuté. </w:t>
      </w:r>
    </w:p>
    <w:p w14:paraId="52296812" w14:textId="77777777" w:rsidR="00074645" w:rsidRPr="00042364" w:rsidRDefault="00074645" w:rsidP="00074645">
      <w:pPr>
        <w:ind w:left="567"/>
        <w:jc w:val="both"/>
        <w:rPr>
          <w:rFonts w:ascii="Arial Narrow" w:hAnsi="Arial Narrow"/>
        </w:rPr>
      </w:pPr>
    </w:p>
    <w:p w14:paraId="198A5AD3" w14:textId="77777777" w:rsidR="00074645" w:rsidRPr="00042364" w:rsidRDefault="00074645" w:rsidP="00074645">
      <w:pPr>
        <w:ind w:left="567"/>
        <w:jc w:val="both"/>
        <w:rPr>
          <w:rFonts w:ascii="Arial Narrow" w:hAnsi="Arial Narrow" w:cstheme="minorHAnsi"/>
        </w:rPr>
      </w:pPr>
      <w:r w:rsidRPr="00042364">
        <w:rPr>
          <w:rFonts w:ascii="Arial Narrow" w:hAnsi="Arial Narrow"/>
        </w:rPr>
        <w:t>Uchádzač môže predbežne nahradiť doklady na preukázanie splnenia podmienok účasti jednotným európskym</w:t>
      </w:r>
      <w:r w:rsidRPr="00042364">
        <w:rPr>
          <w:rFonts w:ascii="Arial Narrow" w:hAnsi="Arial Narrow" w:cstheme="minorHAnsi"/>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6BCB13C9" w14:textId="77777777" w:rsidR="00074645" w:rsidRPr="00042364" w:rsidRDefault="00074645" w:rsidP="00074645">
      <w:pPr>
        <w:ind w:left="567"/>
        <w:jc w:val="both"/>
        <w:rPr>
          <w:rFonts w:ascii="Arial Narrow" w:hAnsi="Arial Narrow" w:cstheme="minorHAnsi"/>
        </w:rPr>
      </w:pPr>
    </w:p>
    <w:p w14:paraId="68C2FCA1" w14:textId="77777777" w:rsidR="00074645" w:rsidRPr="00042364" w:rsidRDefault="00074645" w:rsidP="00074645">
      <w:pPr>
        <w:pStyle w:val="Odsekzoznamu"/>
        <w:tabs>
          <w:tab w:val="left" w:pos="567"/>
        </w:tabs>
        <w:ind w:left="567"/>
        <w:jc w:val="both"/>
        <w:rPr>
          <w:rFonts w:ascii="Arial Narrow" w:hAnsi="Arial Narrow" w:cstheme="minorHAnsi"/>
        </w:rPr>
      </w:pPr>
      <w:r w:rsidRPr="00042364">
        <w:rPr>
          <w:rFonts w:ascii="Arial Narrow" w:hAnsi="Arial Narrow" w:cstheme="minorHAnsi"/>
        </w:rPr>
        <w:t>V prípade, že uchádzača tvorí skupina dodávateľov, uchádzač vyplní a predloží JED s požadovanými informáciami za každého člena skupiny dodávateľov.</w:t>
      </w:r>
    </w:p>
    <w:p w14:paraId="1B629B03" w14:textId="77777777" w:rsidR="00074645" w:rsidRPr="00042364" w:rsidRDefault="00074645" w:rsidP="00074645">
      <w:pPr>
        <w:pStyle w:val="Odsekzoznamu"/>
        <w:tabs>
          <w:tab w:val="left" w:pos="567"/>
        </w:tabs>
        <w:ind w:left="567"/>
        <w:jc w:val="both"/>
        <w:rPr>
          <w:rFonts w:ascii="Arial Narrow" w:eastAsia="Microsoft Sans Serif" w:hAnsi="Arial Narrow"/>
          <w:color w:val="FF0000"/>
        </w:rPr>
      </w:pPr>
    </w:p>
    <w:p w14:paraId="30E1727F" w14:textId="77777777" w:rsidR="009B50E0" w:rsidRPr="00042364" w:rsidRDefault="009B50E0">
      <w:pPr>
        <w:rPr>
          <w:rFonts w:ascii="Arial Narrow" w:hAnsi="Arial Narrow"/>
        </w:rPr>
      </w:pPr>
    </w:p>
    <w:sectPr w:rsidR="009B50E0" w:rsidRPr="00042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24736"/>
    <w:multiLevelType w:val="multilevel"/>
    <w:tmpl w:val="B54842B2"/>
    <w:lvl w:ilvl="0">
      <w:start w:val="1"/>
      <w:numFmt w:val="decimal"/>
      <w:lvlText w:val="%1."/>
      <w:lvlJc w:val="left"/>
      <w:pPr>
        <w:ind w:left="720" w:hanging="360"/>
      </w:pPr>
      <w:rPr>
        <w:rFonts w:ascii="Arial Narrow" w:hAnsi="Arial Narrow" w:hint="default"/>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45"/>
    <w:rsid w:val="00042364"/>
    <w:rsid w:val="000724D6"/>
    <w:rsid w:val="00074645"/>
    <w:rsid w:val="00210023"/>
    <w:rsid w:val="002618D1"/>
    <w:rsid w:val="00482E1A"/>
    <w:rsid w:val="00497A9A"/>
    <w:rsid w:val="00805B04"/>
    <w:rsid w:val="00883E36"/>
    <w:rsid w:val="009B4DD5"/>
    <w:rsid w:val="009B50E0"/>
    <w:rsid w:val="00A94B32"/>
    <w:rsid w:val="00B93703"/>
    <w:rsid w:val="00D8750E"/>
    <w:rsid w:val="00F96A34"/>
    <w:rsid w:val="00FC3238"/>
    <w:rsid w:val="00FC61B6"/>
    <w:rsid w:val="00FE5A26"/>
    <w:rsid w:val="00FF68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4645"/>
    <w:pPr>
      <w:spacing w:after="0" w:line="240" w:lineRule="auto"/>
    </w:pPr>
    <w:rPr>
      <w:rFonts w:ascii="Calibri" w:hAnsi="Calibri" w:cs="Times New Roman"/>
    </w:rPr>
  </w:style>
  <w:style w:type="paragraph" w:styleId="Nadpis2">
    <w:name w:val="heading 2"/>
    <w:basedOn w:val="Normlny"/>
    <w:next w:val="Normlny"/>
    <w:link w:val="Nadpis2Char"/>
    <w:uiPriority w:val="9"/>
    <w:unhideWhenUsed/>
    <w:qFormat/>
    <w:rsid w:val="0007464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074645"/>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7464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074645"/>
    <w:rPr>
      <w:rFonts w:asciiTheme="majorHAnsi" w:eastAsiaTheme="majorEastAsia" w:hAnsiTheme="majorHAnsi" w:cstheme="majorBidi"/>
      <w:b/>
      <w:bCs/>
      <w:color w:val="4F81BD" w:themeColor="accent1"/>
    </w:rPr>
  </w:style>
  <w:style w:type="character" w:customStyle="1" w:styleId="OdsekzoznamuChar">
    <w:name w:val="Odsek zoznamu Char"/>
    <w:aliases w:val="Bullet Number Char,lp1 Char,lp11 Char,List Paragraph11 Char,Bullet 1 Char,Use Case List Paragraph Char,List Paragraph1 Char"/>
    <w:basedOn w:val="Predvolenpsmoodseku"/>
    <w:link w:val="Odsekzoznamu"/>
    <w:uiPriority w:val="34"/>
    <w:locked/>
    <w:rsid w:val="00074645"/>
    <w:rPr>
      <w:rFonts w:ascii="Calibri" w:hAnsi="Calibri"/>
    </w:rPr>
  </w:style>
  <w:style w:type="paragraph" w:styleId="Odsekzoznamu">
    <w:name w:val="List Paragraph"/>
    <w:aliases w:val="Bullet Number,lp1,lp11,List Paragraph11,Bullet 1,Use Case List Paragraph,List Paragraph1"/>
    <w:basedOn w:val="Normlny"/>
    <w:link w:val="OdsekzoznamuChar"/>
    <w:uiPriority w:val="34"/>
    <w:qFormat/>
    <w:rsid w:val="00074645"/>
    <w:pPr>
      <w:ind w:left="720"/>
    </w:pPr>
    <w:rPr>
      <w:rFonts w:cstheme="minorBidi"/>
    </w:rPr>
  </w:style>
  <w:style w:type="character" w:styleId="Odkaznakomentr">
    <w:name w:val="annotation reference"/>
    <w:basedOn w:val="Predvolenpsmoodseku"/>
    <w:uiPriority w:val="99"/>
    <w:semiHidden/>
    <w:unhideWhenUsed/>
    <w:rsid w:val="00042364"/>
    <w:rPr>
      <w:sz w:val="16"/>
      <w:szCs w:val="16"/>
    </w:rPr>
  </w:style>
  <w:style w:type="paragraph" w:styleId="Textkomentra">
    <w:name w:val="annotation text"/>
    <w:basedOn w:val="Normlny"/>
    <w:link w:val="TextkomentraChar"/>
    <w:uiPriority w:val="99"/>
    <w:semiHidden/>
    <w:unhideWhenUsed/>
    <w:rsid w:val="00042364"/>
    <w:rPr>
      <w:sz w:val="20"/>
      <w:szCs w:val="20"/>
    </w:rPr>
  </w:style>
  <w:style w:type="character" w:customStyle="1" w:styleId="TextkomentraChar">
    <w:name w:val="Text komentára Char"/>
    <w:basedOn w:val="Predvolenpsmoodseku"/>
    <w:link w:val="Textkomentra"/>
    <w:uiPriority w:val="99"/>
    <w:semiHidden/>
    <w:rsid w:val="00042364"/>
    <w:rPr>
      <w:rFonts w:ascii="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042364"/>
    <w:rPr>
      <w:b/>
      <w:bCs/>
    </w:rPr>
  </w:style>
  <w:style w:type="character" w:customStyle="1" w:styleId="PredmetkomentraChar">
    <w:name w:val="Predmet komentára Char"/>
    <w:basedOn w:val="TextkomentraChar"/>
    <w:link w:val="Predmetkomentra"/>
    <w:uiPriority w:val="99"/>
    <w:semiHidden/>
    <w:rsid w:val="00042364"/>
    <w:rPr>
      <w:rFonts w:ascii="Calibri" w:hAnsi="Calibri" w:cs="Times New Roman"/>
      <w:b/>
      <w:bCs/>
      <w:sz w:val="20"/>
      <w:szCs w:val="20"/>
    </w:rPr>
  </w:style>
  <w:style w:type="paragraph" w:styleId="Textbubliny">
    <w:name w:val="Balloon Text"/>
    <w:basedOn w:val="Normlny"/>
    <w:link w:val="TextbublinyChar"/>
    <w:uiPriority w:val="99"/>
    <w:semiHidden/>
    <w:unhideWhenUsed/>
    <w:rsid w:val="000423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23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4645"/>
    <w:pPr>
      <w:spacing w:after="0" w:line="240" w:lineRule="auto"/>
    </w:pPr>
    <w:rPr>
      <w:rFonts w:ascii="Calibri" w:hAnsi="Calibri" w:cs="Times New Roman"/>
    </w:rPr>
  </w:style>
  <w:style w:type="paragraph" w:styleId="Nadpis2">
    <w:name w:val="heading 2"/>
    <w:basedOn w:val="Normlny"/>
    <w:next w:val="Normlny"/>
    <w:link w:val="Nadpis2Char"/>
    <w:uiPriority w:val="9"/>
    <w:unhideWhenUsed/>
    <w:qFormat/>
    <w:rsid w:val="0007464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074645"/>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7464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074645"/>
    <w:rPr>
      <w:rFonts w:asciiTheme="majorHAnsi" w:eastAsiaTheme="majorEastAsia" w:hAnsiTheme="majorHAnsi" w:cstheme="majorBidi"/>
      <w:b/>
      <w:bCs/>
      <w:color w:val="4F81BD" w:themeColor="accent1"/>
    </w:rPr>
  </w:style>
  <w:style w:type="character" w:customStyle="1" w:styleId="OdsekzoznamuChar">
    <w:name w:val="Odsek zoznamu Char"/>
    <w:aliases w:val="Bullet Number Char,lp1 Char,lp11 Char,List Paragraph11 Char,Bullet 1 Char,Use Case List Paragraph Char,List Paragraph1 Char"/>
    <w:basedOn w:val="Predvolenpsmoodseku"/>
    <w:link w:val="Odsekzoznamu"/>
    <w:uiPriority w:val="34"/>
    <w:locked/>
    <w:rsid w:val="00074645"/>
    <w:rPr>
      <w:rFonts w:ascii="Calibri" w:hAnsi="Calibri"/>
    </w:rPr>
  </w:style>
  <w:style w:type="paragraph" w:styleId="Odsekzoznamu">
    <w:name w:val="List Paragraph"/>
    <w:aliases w:val="Bullet Number,lp1,lp11,List Paragraph11,Bullet 1,Use Case List Paragraph,List Paragraph1"/>
    <w:basedOn w:val="Normlny"/>
    <w:link w:val="OdsekzoznamuChar"/>
    <w:uiPriority w:val="34"/>
    <w:qFormat/>
    <w:rsid w:val="00074645"/>
    <w:pPr>
      <w:ind w:left="720"/>
    </w:pPr>
    <w:rPr>
      <w:rFonts w:cstheme="minorBidi"/>
    </w:rPr>
  </w:style>
  <w:style w:type="character" w:styleId="Odkaznakomentr">
    <w:name w:val="annotation reference"/>
    <w:basedOn w:val="Predvolenpsmoodseku"/>
    <w:uiPriority w:val="99"/>
    <w:semiHidden/>
    <w:unhideWhenUsed/>
    <w:rsid w:val="00042364"/>
    <w:rPr>
      <w:sz w:val="16"/>
      <w:szCs w:val="16"/>
    </w:rPr>
  </w:style>
  <w:style w:type="paragraph" w:styleId="Textkomentra">
    <w:name w:val="annotation text"/>
    <w:basedOn w:val="Normlny"/>
    <w:link w:val="TextkomentraChar"/>
    <w:uiPriority w:val="99"/>
    <w:semiHidden/>
    <w:unhideWhenUsed/>
    <w:rsid w:val="00042364"/>
    <w:rPr>
      <w:sz w:val="20"/>
      <w:szCs w:val="20"/>
    </w:rPr>
  </w:style>
  <w:style w:type="character" w:customStyle="1" w:styleId="TextkomentraChar">
    <w:name w:val="Text komentára Char"/>
    <w:basedOn w:val="Predvolenpsmoodseku"/>
    <w:link w:val="Textkomentra"/>
    <w:uiPriority w:val="99"/>
    <w:semiHidden/>
    <w:rsid w:val="00042364"/>
    <w:rPr>
      <w:rFonts w:ascii="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042364"/>
    <w:rPr>
      <w:b/>
      <w:bCs/>
    </w:rPr>
  </w:style>
  <w:style w:type="character" w:customStyle="1" w:styleId="PredmetkomentraChar">
    <w:name w:val="Predmet komentára Char"/>
    <w:basedOn w:val="TextkomentraChar"/>
    <w:link w:val="Predmetkomentra"/>
    <w:uiPriority w:val="99"/>
    <w:semiHidden/>
    <w:rsid w:val="00042364"/>
    <w:rPr>
      <w:rFonts w:ascii="Calibri" w:hAnsi="Calibri" w:cs="Times New Roman"/>
      <w:b/>
      <w:bCs/>
      <w:sz w:val="20"/>
      <w:szCs w:val="20"/>
    </w:rPr>
  </w:style>
  <w:style w:type="paragraph" w:styleId="Textbubliny">
    <w:name w:val="Balloon Text"/>
    <w:basedOn w:val="Normlny"/>
    <w:link w:val="TextbublinyChar"/>
    <w:uiPriority w:val="99"/>
    <w:semiHidden/>
    <w:unhideWhenUsed/>
    <w:rsid w:val="000423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2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6570-489C-47E1-A9BB-C2178AEC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5319</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3</cp:revision>
  <cp:lastPrinted>2019-07-29T08:06:00Z</cp:lastPrinted>
  <dcterms:created xsi:type="dcterms:W3CDTF">2019-09-04T12:39:00Z</dcterms:created>
  <dcterms:modified xsi:type="dcterms:W3CDTF">2019-09-10T06:58:00Z</dcterms:modified>
</cp:coreProperties>
</file>