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15" w:rsidRDefault="00597015" w:rsidP="00597015">
      <w:pPr>
        <w:jc w:val="right"/>
      </w:pPr>
      <w:r w:rsidRPr="009C6596">
        <w:rPr>
          <w:rFonts w:ascii="Arial Narrow" w:hAnsi="Arial Narrow" w:cs="Arial"/>
        </w:rPr>
        <w:t>Príloha č. 1 súťažných podkladov</w:t>
      </w:r>
    </w:p>
    <w:p w:rsidR="00597015" w:rsidRDefault="00597015" w:rsidP="00597015">
      <w:pPr>
        <w:tabs>
          <w:tab w:val="num" w:pos="1080"/>
          <w:tab w:val="left" w:leader="dot" w:pos="10034"/>
        </w:tabs>
        <w:spacing w:before="120" w:after="120"/>
        <w:rPr>
          <w:rFonts w:ascii="Arial Narrow" w:hAnsi="Arial Narrow" w:cs="Arial"/>
        </w:rPr>
      </w:pPr>
      <w:r w:rsidRPr="008F0F65">
        <w:rPr>
          <w:rFonts w:ascii="Arial Narrow" w:hAnsi="Arial Narrow" w:cs="Arial"/>
        </w:rPr>
        <w:t xml:space="preserve">                                                                                </w:t>
      </w:r>
      <w:r>
        <w:rPr>
          <w:rFonts w:ascii="Arial Narrow" w:hAnsi="Arial Narrow" w:cs="Arial"/>
        </w:rPr>
        <w:t xml:space="preserve">                                                                                             </w:t>
      </w:r>
    </w:p>
    <w:p w:rsidR="00597015" w:rsidRDefault="00597015" w:rsidP="00597015">
      <w:pPr>
        <w:pStyle w:val="Odsekzoznamu"/>
        <w:tabs>
          <w:tab w:val="num" w:pos="1080"/>
          <w:tab w:val="left" w:leader="dot" w:pos="10034"/>
        </w:tabs>
        <w:spacing w:before="120" w:after="120"/>
        <w:ind w:left="432"/>
        <w:rPr>
          <w:rFonts w:ascii="Arial Narrow" w:hAnsi="Arial Narrow" w:cs="Arial"/>
        </w:rPr>
      </w:pPr>
    </w:p>
    <w:p w:rsidR="00597015" w:rsidRDefault="00597015" w:rsidP="00597015">
      <w:pPr>
        <w:pStyle w:val="Odsekzoznamu"/>
        <w:tabs>
          <w:tab w:val="num" w:pos="1080"/>
          <w:tab w:val="left" w:leader="dot" w:pos="10034"/>
        </w:tabs>
        <w:spacing w:before="120" w:after="120"/>
        <w:ind w:left="432"/>
        <w:rPr>
          <w:rFonts w:ascii="Arial Narrow" w:hAnsi="Arial Narrow" w:cs="Arial"/>
        </w:rPr>
      </w:pPr>
    </w:p>
    <w:p w:rsidR="00597015" w:rsidRPr="009C6596" w:rsidRDefault="00597015" w:rsidP="00597015">
      <w:pPr>
        <w:pStyle w:val="Odsekzoznamu"/>
        <w:tabs>
          <w:tab w:val="num" w:pos="1080"/>
          <w:tab w:val="left" w:leader="dot" w:pos="10034"/>
        </w:tabs>
        <w:spacing w:before="120" w:after="120"/>
        <w:ind w:left="432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</w:t>
      </w: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97015" w:rsidRPr="00157294" w:rsidRDefault="00597015" w:rsidP="005970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97015" w:rsidRPr="00EC2537" w:rsidTr="005C4BF5">
        <w:trPr>
          <w:trHeight w:val="2700"/>
        </w:trPr>
        <w:tc>
          <w:tcPr>
            <w:tcW w:w="9073" w:type="dxa"/>
          </w:tcPr>
          <w:p w:rsidR="00597015" w:rsidRPr="0031184F" w:rsidRDefault="00597015" w:rsidP="005C4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97015" w:rsidRPr="0031184F" w:rsidRDefault="00597015" w:rsidP="005C4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97015" w:rsidRPr="0031184F" w:rsidRDefault="00597015" w:rsidP="005C4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97015" w:rsidRPr="00EC2537" w:rsidRDefault="00597015" w:rsidP="005C4BF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483543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  <w:p w:rsidR="00597015" w:rsidRPr="00EC2537" w:rsidRDefault="00597015" w:rsidP="005C4BF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597015" w:rsidRDefault="00597015" w:rsidP="00597015">
      <w:pPr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Default="00597015" w:rsidP="00597015">
      <w:pPr>
        <w:ind w:left="360"/>
        <w:jc w:val="both"/>
        <w:rPr>
          <w:rFonts w:ascii="Arial Narrow" w:hAnsi="Arial Narrow"/>
          <w:sz w:val="22"/>
        </w:rPr>
      </w:pPr>
    </w:p>
    <w:p w:rsidR="002E5636" w:rsidRDefault="002E5636" w:rsidP="00597015">
      <w:pPr>
        <w:ind w:left="360"/>
        <w:jc w:val="both"/>
        <w:rPr>
          <w:rFonts w:ascii="Arial Narrow" w:hAnsi="Arial Narrow"/>
          <w:sz w:val="22"/>
        </w:rPr>
      </w:pPr>
    </w:p>
    <w:p w:rsidR="002E5636" w:rsidRDefault="002E5636" w:rsidP="00597015">
      <w:pPr>
        <w:ind w:left="360"/>
        <w:jc w:val="both"/>
        <w:rPr>
          <w:rFonts w:ascii="Arial Narrow" w:hAnsi="Arial Narrow"/>
          <w:sz w:val="22"/>
        </w:rPr>
      </w:pPr>
    </w:p>
    <w:p w:rsidR="00597015" w:rsidRPr="003522A8" w:rsidRDefault="00597015" w:rsidP="00597015">
      <w:pPr>
        <w:pStyle w:val="Zkladntext60"/>
        <w:shd w:val="clear" w:color="auto" w:fill="auto"/>
        <w:tabs>
          <w:tab w:val="left" w:pos="2329"/>
          <w:tab w:val="center" w:pos="4500"/>
        </w:tabs>
        <w:spacing w:before="0" w:after="174" w:line="276" w:lineRule="auto"/>
        <w:ind w:firstLine="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  <w:r w:rsidRPr="003522A8">
        <w:rPr>
          <w:rFonts w:ascii="Arial Narrow" w:hAnsi="Arial Narrow" w:cs="Times New Roman"/>
          <w:b/>
          <w:sz w:val="22"/>
          <w:szCs w:val="22"/>
          <w:u w:val="single"/>
        </w:rPr>
        <w:lastRenderedPageBreak/>
        <w:t>Opis predmetu zákazky</w:t>
      </w:r>
    </w:p>
    <w:p w:rsidR="00597015" w:rsidRPr="003522A8" w:rsidRDefault="00597015" w:rsidP="00597015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3522A8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597015" w:rsidRPr="003522A8" w:rsidRDefault="00597015" w:rsidP="00597015">
      <w:pPr>
        <w:pStyle w:val="Nadpis1"/>
        <w:jc w:val="both"/>
        <w:rPr>
          <w:rStyle w:val="h1a1"/>
          <w:rFonts w:ascii="Arial Narrow" w:hAnsi="Arial Narrow"/>
          <w:b w:val="0"/>
          <w:sz w:val="22"/>
          <w:szCs w:val="22"/>
        </w:rPr>
      </w:pPr>
      <w:r w:rsidRPr="003522A8">
        <w:rPr>
          <w:rFonts w:ascii="Arial Narrow" w:hAnsi="Arial Narrow"/>
          <w:b w:val="0"/>
          <w:sz w:val="22"/>
          <w:szCs w:val="22"/>
        </w:rPr>
        <w:t>Vykonávanie odborných prehliadok, odborných skúšok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3522A8">
        <w:rPr>
          <w:rFonts w:ascii="Arial Narrow" w:hAnsi="Arial Narrow"/>
          <w:b w:val="0"/>
          <w:sz w:val="22"/>
          <w:szCs w:val="22"/>
        </w:rPr>
        <w:t>a opakovaných úradných skúšok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3522A8">
        <w:rPr>
          <w:rFonts w:ascii="Arial Narrow" w:hAnsi="Arial Narrow"/>
          <w:b w:val="0"/>
          <w:sz w:val="22"/>
          <w:szCs w:val="22"/>
        </w:rPr>
        <w:t xml:space="preserve">vyhradených technických zariadení </w:t>
      </w:r>
      <w:r>
        <w:rPr>
          <w:rFonts w:ascii="Arial Narrow" w:hAnsi="Arial Narrow"/>
          <w:b w:val="0"/>
          <w:sz w:val="22"/>
          <w:szCs w:val="22"/>
        </w:rPr>
        <w:t>zdvíhacích</w:t>
      </w:r>
      <w:r w:rsidRPr="003522A8">
        <w:rPr>
          <w:rFonts w:ascii="Arial Narrow" w:hAnsi="Arial Narrow"/>
          <w:b w:val="0"/>
          <w:sz w:val="22"/>
          <w:szCs w:val="22"/>
        </w:rPr>
        <w:t xml:space="preserve"> (ďalej len“ VTZ </w:t>
      </w:r>
      <w:r>
        <w:rPr>
          <w:rFonts w:ascii="Arial Narrow" w:hAnsi="Arial Narrow"/>
          <w:b w:val="0"/>
          <w:sz w:val="22"/>
          <w:szCs w:val="22"/>
        </w:rPr>
        <w:t>zdvíhacie</w:t>
      </w:r>
      <w:r w:rsidRPr="003522A8">
        <w:rPr>
          <w:rFonts w:ascii="Arial Narrow" w:hAnsi="Arial Narrow"/>
          <w:b w:val="0"/>
          <w:sz w:val="22"/>
          <w:szCs w:val="22"/>
        </w:rPr>
        <w:t xml:space="preserve">“) v zmysle vyhlášky Ministerstva práce, sociálnych vecí a rodiny Slovenskej republiky č. 508/2009 Z. z.,  </w:t>
      </w:r>
      <w:r w:rsidRPr="003522A8">
        <w:rPr>
          <w:rStyle w:val="h1a1"/>
          <w:rFonts w:ascii="Arial Narrow" w:hAnsi="Arial Narrow"/>
          <w:b w:val="0"/>
          <w:sz w:val="22"/>
          <w:szCs w:val="22"/>
          <w:specVanish w:val="0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 ( ďalej len „ vyhláška č. 508/2009 Z.z.“)</w:t>
      </w:r>
    </w:p>
    <w:p w:rsidR="00597015" w:rsidRDefault="00597015" w:rsidP="00687C43">
      <w:pPr>
        <w:spacing w:before="100" w:beforeAutospacing="1" w:after="0"/>
        <w:rPr>
          <w:rFonts w:ascii="Arial Narrow" w:hAnsi="Arial Narrow"/>
          <w:color w:val="333333"/>
          <w:sz w:val="22"/>
          <w:lang w:eastAsia="sk-SK"/>
        </w:rPr>
      </w:pPr>
      <w:r w:rsidRPr="003522A8">
        <w:rPr>
          <w:rFonts w:ascii="Arial Narrow" w:hAnsi="Arial Narrow"/>
          <w:sz w:val="22"/>
        </w:rPr>
        <w:t xml:space="preserve">Vykonávanie odborných prehliadok, odborných skúšok  a opakovaných úradných skúšok   VTZ </w:t>
      </w:r>
      <w:r>
        <w:rPr>
          <w:rFonts w:ascii="Arial Narrow" w:hAnsi="Arial Narrow"/>
          <w:sz w:val="22"/>
        </w:rPr>
        <w:t xml:space="preserve">zdvíhacích </w:t>
      </w:r>
      <w:r w:rsidRPr="003522A8">
        <w:rPr>
          <w:rFonts w:ascii="Arial Narrow" w:hAnsi="Arial Narrow"/>
          <w:color w:val="333333"/>
          <w:sz w:val="22"/>
          <w:lang w:eastAsia="sk-SK"/>
        </w:rPr>
        <w:t>ako sú:</w:t>
      </w:r>
    </w:p>
    <w:p w:rsidR="00597015" w:rsidRDefault="00597015" w:rsidP="00687C4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žeriav a zdvíhadlo s motorovým pohonom, napríklad elektrickým, hydraulickým, s nosnosťou nad 1 000 kg a žeriav a zdvíhadlo s ľudským pohonom nad 5 000 kg vrátane trvalej dráhy žeriavu a dočasnej d</w:t>
      </w:r>
      <w:r>
        <w:rPr>
          <w:rFonts w:ascii="Arial Narrow" w:hAnsi="Arial Narrow"/>
          <w:color w:val="000000"/>
          <w:sz w:val="22"/>
          <w:szCs w:val="22"/>
        </w:rPr>
        <w:t>ráhy žeriavu výložníkového typu - skupina A, písm. a),</w:t>
      </w:r>
    </w:p>
    <w:p w:rsidR="00597015" w:rsidRPr="00AA6097" w:rsidRDefault="00597015" w:rsidP="00597015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spacing w:after="0" w:line="240" w:lineRule="auto"/>
        <w:rPr>
          <w:rFonts w:ascii="Arial Narrow" w:hAnsi="Arial Narrow"/>
          <w:color w:val="000000"/>
          <w:sz w:val="22"/>
        </w:rPr>
      </w:pPr>
      <w:r w:rsidRPr="00DC4DE9">
        <w:rPr>
          <w:rFonts w:ascii="Arial Narrow" w:hAnsi="Arial Narrow"/>
          <w:color w:val="000000"/>
          <w:sz w:val="22"/>
        </w:rPr>
        <w:t>pohyblivá pracovná plošina s motorovým poho</w:t>
      </w:r>
      <w:r>
        <w:rPr>
          <w:rFonts w:ascii="Arial Narrow" w:hAnsi="Arial Narrow"/>
          <w:color w:val="000000"/>
          <w:sz w:val="22"/>
        </w:rPr>
        <w:t>nom a s výškou zdvihu nad 1,5 m – skupina A, písm. b),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osobný a nákladný výťah s povolenou dopravou osôb</w:t>
      </w:r>
      <w:r>
        <w:rPr>
          <w:rFonts w:ascii="Arial Narrow" w:hAnsi="Arial Narrow"/>
          <w:color w:val="000000"/>
          <w:sz w:val="22"/>
          <w:szCs w:val="22"/>
        </w:rPr>
        <w:t xml:space="preserve"> – skupina A, písm.c/1),</w:t>
      </w:r>
    </w:p>
    <w:p w:rsidR="00597015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DC4DE9">
        <w:rPr>
          <w:rFonts w:ascii="Arial Narrow" w:hAnsi="Arial Narrow"/>
          <w:color w:val="000000"/>
          <w:sz w:val="22"/>
          <w:szCs w:val="22"/>
        </w:rPr>
        <w:t>nákladný výťah s prístupom osôb do klietky</w:t>
      </w:r>
      <w:r>
        <w:rPr>
          <w:rFonts w:ascii="Arial Narrow" w:hAnsi="Arial Narrow"/>
          <w:color w:val="000000"/>
          <w:sz w:val="22"/>
          <w:szCs w:val="22"/>
        </w:rPr>
        <w:t xml:space="preserve"> – skupina A, písm. c/2),</w:t>
      </w:r>
    </w:p>
    <w:p w:rsidR="00597015" w:rsidRPr="00DC4DE9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DC4DE9">
        <w:rPr>
          <w:rFonts w:ascii="Arial Narrow" w:hAnsi="Arial Narrow"/>
          <w:color w:val="000000"/>
          <w:sz w:val="22"/>
          <w:szCs w:val="22"/>
        </w:rPr>
        <w:t>nákladný vý</w:t>
      </w:r>
      <w:r>
        <w:rPr>
          <w:rFonts w:ascii="Arial Narrow" w:hAnsi="Arial Narrow"/>
          <w:color w:val="000000"/>
          <w:sz w:val="22"/>
          <w:szCs w:val="22"/>
        </w:rPr>
        <w:t>ťah so zakázanou prepravou osôb – skupina A, písm. c/3),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zdvíhacia plošina s po</w:t>
      </w:r>
      <w:r>
        <w:rPr>
          <w:rFonts w:ascii="Arial Narrow" w:hAnsi="Arial Narrow"/>
          <w:color w:val="000000"/>
          <w:sz w:val="22"/>
          <w:szCs w:val="22"/>
        </w:rPr>
        <w:t>volenou dopravou osôb a nákladu – skupina A, písm. c/4),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výs</w:t>
      </w:r>
      <w:r>
        <w:rPr>
          <w:rFonts w:ascii="Arial Narrow" w:hAnsi="Arial Narrow"/>
          <w:color w:val="000000"/>
          <w:sz w:val="22"/>
          <w:szCs w:val="22"/>
        </w:rPr>
        <w:t>uvný rebrík s motorovým pohonom – skupina A, písm. h)</w:t>
      </w:r>
    </w:p>
    <w:p w:rsidR="00597015" w:rsidRPr="00DC4DE9" w:rsidRDefault="00597015" w:rsidP="00597015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spacing w:after="0" w:line="240" w:lineRule="auto"/>
        <w:rPr>
          <w:rFonts w:ascii="Arial Narrow" w:hAnsi="Arial Narrow"/>
          <w:color w:val="000000"/>
          <w:sz w:val="22"/>
        </w:rPr>
      </w:pPr>
      <w:r w:rsidRPr="00DC4DE9">
        <w:rPr>
          <w:rFonts w:ascii="Arial Narrow" w:hAnsi="Arial Narrow"/>
          <w:color w:val="000000"/>
          <w:sz w:val="22"/>
        </w:rPr>
        <w:t xml:space="preserve">žeriav a zdvíhadlo s motorovým pohonom s nosnosťou do 1 000 kg vrátane a s ľudským pohonom s nosnosťou </w:t>
      </w:r>
      <w:r>
        <w:rPr>
          <w:rFonts w:ascii="Arial Narrow" w:hAnsi="Arial Narrow"/>
          <w:color w:val="000000"/>
          <w:sz w:val="22"/>
        </w:rPr>
        <w:t>od 1 000 kg do 5 000 kg vrátane – skupina B. písm. a/1),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vrátok s motorovým poho</w:t>
      </w:r>
      <w:r>
        <w:rPr>
          <w:rFonts w:ascii="Arial Narrow" w:hAnsi="Arial Narrow"/>
          <w:color w:val="000000"/>
          <w:sz w:val="22"/>
          <w:szCs w:val="22"/>
        </w:rPr>
        <w:t>nom určený na zdvíhanie bremien – skupina B, písm. a/2),</w:t>
      </w:r>
    </w:p>
    <w:p w:rsidR="00597015" w:rsidRPr="00DC4DE9" w:rsidRDefault="00597015" w:rsidP="00597015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spacing w:after="0" w:line="240" w:lineRule="auto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zdvíhacia rampa – skupina B, písm. d/1),</w:t>
      </w:r>
    </w:p>
    <w:p w:rsidR="00597015" w:rsidRPr="00DC4DE9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zdvíhacia plošina – skupina B, písm. d/2),</w:t>
      </w:r>
    </w:p>
    <w:p w:rsidR="00597015" w:rsidRPr="00DC4DE9" w:rsidRDefault="00597015" w:rsidP="00597015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spacing w:after="0" w:line="240" w:lineRule="auto"/>
        <w:rPr>
          <w:rFonts w:ascii="Arial Narrow" w:hAnsi="Arial Narrow"/>
          <w:color w:val="000000"/>
          <w:sz w:val="22"/>
        </w:rPr>
      </w:pPr>
      <w:r w:rsidRPr="00DC4DE9">
        <w:rPr>
          <w:rFonts w:ascii="Arial Narrow" w:hAnsi="Arial Narrow"/>
          <w:color w:val="000000"/>
          <w:sz w:val="22"/>
        </w:rPr>
        <w:t xml:space="preserve">stabilné, mobilné a premiestniteľné servisné zdvíhacie zariadenie, ktoré je </w:t>
      </w:r>
      <w:r>
        <w:rPr>
          <w:rFonts w:ascii="Arial Narrow" w:hAnsi="Arial Narrow"/>
          <w:color w:val="000000"/>
          <w:sz w:val="22"/>
        </w:rPr>
        <w:t>určené len na zdvíhanie vozidla – skupina B, písm. d/3),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zdvíhacie čelo určené na montáž na vozidlo alebo do vozidla, ktoré je určené na nakl</w:t>
      </w:r>
      <w:r>
        <w:rPr>
          <w:rFonts w:ascii="Arial Narrow" w:hAnsi="Arial Narrow"/>
          <w:color w:val="000000"/>
          <w:sz w:val="22"/>
          <w:szCs w:val="22"/>
        </w:rPr>
        <w:t>adanie alebo vykladanie nákladu – skupina B, písm. d/4),</w:t>
      </w:r>
    </w:p>
    <w:p w:rsidR="00597015" w:rsidRPr="00F64824" w:rsidRDefault="00597015" w:rsidP="00597015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zvislá posuvná brána s motorovým po</w:t>
      </w:r>
      <w:r>
        <w:rPr>
          <w:rFonts w:ascii="Arial Narrow" w:hAnsi="Arial Narrow"/>
          <w:color w:val="000000"/>
          <w:sz w:val="22"/>
          <w:szCs w:val="22"/>
        </w:rPr>
        <w:t>honom s výškou zdvihu nad 2,7 m – skupina B, písm. f).</w:t>
      </w:r>
    </w:p>
    <w:p w:rsidR="00597015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I. ČASŤ ROZDELENIE TECHNICKÝCH ZARIADENÍ ZDVÍHACÍCH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A. Technické zariadenia zdvíhacie skupiny A podľa druhu sú: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a) žeriav a zdvíhadlo s motorovým pohonom, napríklad elektrickým, hydraulickým, s nosnosťou nad 1 000 kg a žeriav a zdvíhadlo s ľudským pohonom nad 5 000 kg vrátane trvalej dráhy žeriavu a dočasnej dráhy žeriavu výložníkového typu,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b) pohyblivá pracovná plošina s motorovým pohonom a s výškou zdvihu nad 1,5 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c) výťah a zdvíhacia plošina, ktorá je trvalou súčasťou budovy a objektu, a to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osobný a nákladný výťah s povolenou dopravou osôb,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2. nákladný výťah s prístupom osôb do klietky,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3. nákladný výťah so zakázanou prepravou osôb,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4. zdvíhacia plošina s povolenou dopravou osôb a nákladu,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d) stavebný výťah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na prepravu osôb a nákladu,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2. nákladný s prístupom osôb na nosnú plošinu,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e) regálový zakladač so stanovišťom obsluhy na zakladači a jeho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presuvňa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>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f) pohyblivé schody a chodníky,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g) lyžiarsky vlek a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vodnolyžiarsky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 xml:space="preserve"> vlek,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h) výsuvný rebrík s motorovým pohonom,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i) zariadenie technickej zábavnej činnosti, napríklad lunaparku a iného zábavného zariadenia, s motorovým pohonom: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lastRenderedPageBreak/>
        <w:t>1. na zdvíhanie osôb v zariadení na to určenom, napríklad gondole, sedačke, kabínke, do výšky nad 1,5 m, alebo ktorým sa osoby počas prevádzky zariadenia dostanú do výšky nad 1,5 m nad terén, napríklad kolotočom,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2. horská dráha s vozíkmi na koľajnicovej trati s prevýšením vyšším ako 3 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j) pohyblivé javiskové zariadenie s motorovým pohonom v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hornej javiskovej časti, napríklad javiskový ťah, požiarna a akustická opona, portálový most a portálová veža, osvetľovacia batéria, záves svietidiel a lustrov, projekčný rám,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2. dolnej javiskovej časti, napríklad zdvíhací stôl, stôl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orchestriska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>, javiskové prepadlisko,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k) zdvíhacie čelo určené na montáž na vozidlo alebo do vozidla, ktoré je určené na zdvíhanie osôb pri nastupovaní alebo vystupovaní z vozidla.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B. Technické zariadenia zdvíhacie skupiny B podľa druhu sú: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a) zariadenie, ktorým je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žeriav a zdvíhadlo s motorovým pohonom s nosnosťou do 1 000 kg vrátane a s ľudským pohonom s nosnosťou od 1 000 kg do 5 000 kg vrátane,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2. vrátok s motorovým pohonom určený na zdvíhanie bremien,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b) zdvíhacie ústrojenstvo dopravného vozíka a nakladača s motorovým pohonom určené na zdvíhanie a prepravu bremena pomocou prostriedku na viazanie, zavesenie alebo uchopenie,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c) prídavné zdvíhacie príslušenstvo na zavesenie alebo uchopenie bremena, ktoré nie je trvalou súčasťou technického zariadenia zdvíhacieho skupiny A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a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 xml:space="preserve"> skupiny B, a to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zdvíhacie ústrojenstvo na manipuláciu s kontajnerom ISO,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2. zariadenie na zavesenie alebo uchopenie bremena, napríklad magnet, traverza,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prísavkové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 xml:space="preserve"> zariadenie, kliešte, drapák, okrem prostriedkov uvedených v skupine C písm. a),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d) špeciálne zdvíhacie zariadenie s motorovým pohonom určené na zdvíhanie bremena, a to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1. zdvíhacia rampa,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2. zdvíhacia plošina,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3. stabilné, mobilné a premiestniteľné servisné zdvíhacie zariadenie, ktoré je určené len na zdvíhanie vozidla,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4. zdvíhacie čelo určené na montáž na vozidlo alebo do vozidla, ktoré je určené na nakladanie alebo vykladanie nákladu,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e) nákladný stavebný výťah bez prístupu osôb na nosnú plošinu,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f) zvislá posuvná brána s motorovým pohonom s výškou zdvihu nad 2,7 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 xml:space="preserve">g) regálový zakladač bez stanovišťa obsluhy na zakladači a jeho </w:t>
      </w:r>
      <w:proofErr w:type="spellStart"/>
      <w:r w:rsidRPr="00F64824">
        <w:rPr>
          <w:rFonts w:ascii="Arial Narrow" w:hAnsi="Arial Narrow"/>
          <w:color w:val="000000"/>
          <w:sz w:val="22"/>
          <w:szCs w:val="22"/>
        </w:rPr>
        <w:t>presuvňa</w:t>
      </w:r>
      <w:proofErr w:type="spellEnd"/>
      <w:r w:rsidRPr="00F64824">
        <w:rPr>
          <w:rFonts w:ascii="Arial Narrow" w:hAnsi="Arial Narrow"/>
          <w:color w:val="000000"/>
          <w:sz w:val="22"/>
          <w:szCs w:val="22"/>
        </w:rPr>
        <w:t xml:space="preserve"> okrem zariadenia, ktoré je súčasťou automatizovaných systémov na manipuláciu a skladovanie,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h) javiskové zariadenie s ľudským pohonom,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i) schodiskový výťah a zvislá zdvíhacia plošina určené na používanie osobou s obmedzenou schopnosťou pohybu.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C. Technické zariadenia zdvíhacie skupiny C podľa druhu sú: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a) prostriedok na viazanie a zavesenie bremena, ktorý nie je trvalou súčasťou zdvíhacieho zariadenia, napríklad viazacie lano, reťaz, popruh, pás, hák, strmeň,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b) technické zariadenie zdvíhacie, ktoré je súčasťou pracovného prostriedku, napríklad technologickej linky, stroja alebo automatizovaného systému na manipuláciu a skladovanie,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c) technické zariadenie zdvíhacie zostavované jednorazovo, napríklad na montážne účely, na prepravu,</w:t>
      </w:r>
    </w:p>
    <w:p w:rsidR="00597015" w:rsidRPr="00F64824" w:rsidRDefault="00597015" w:rsidP="00597015">
      <w:pPr>
        <w:pStyle w:val="l21"/>
        <w:rPr>
          <w:rFonts w:ascii="Arial Narrow" w:hAnsi="Arial Narrow"/>
          <w:color w:val="000000"/>
          <w:sz w:val="22"/>
          <w:szCs w:val="22"/>
        </w:rPr>
      </w:pPr>
      <w:r w:rsidRPr="00F64824">
        <w:rPr>
          <w:rFonts w:ascii="Arial Narrow" w:hAnsi="Arial Narrow"/>
          <w:color w:val="000000"/>
          <w:sz w:val="22"/>
          <w:szCs w:val="22"/>
        </w:rPr>
        <w:t>d) ostatné technické zariadenia zdvíhacie skupiny B s ľudským pohonom</w:t>
      </w:r>
    </w:p>
    <w:p w:rsidR="00687C43" w:rsidRDefault="00687C43" w:rsidP="00597015">
      <w:pPr>
        <w:rPr>
          <w:rFonts w:ascii="Arial Narrow" w:hAnsi="Arial Narrow" w:cs="Arial"/>
          <w:b/>
          <w:sz w:val="22"/>
          <w:u w:val="single"/>
        </w:rPr>
      </w:pPr>
    </w:p>
    <w:p w:rsidR="00597015" w:rsidRDefault="00597015" w:rsidP="00597015">
      <w:pPr>
        <w:rPr>
          <w:rStyle w:val="h1a1"/>
          <w:rFonts w:ascii="Arial Narrow" w:hAnsi="Arial Narrow"/>
          <w:b/>
          <w:sz w:val="22"/>
          <w:u w:val="single"/>
        </w:rPr>
      </w:pPr>
      <w:r w:rsidRPr="003522A8">
        <w:rPr>
          <w:rFonts w:ascii="Arial Narrow" w:hAnsi="Arial Narrow" w:cs="Arial"/>
          <w:b/>
          <w:sz w:val="22"/>
          <w:u w:val="single"/>
        </w:rPr>
        <w:t>Termíny vykonávania odborných prehliadok (ďalej len „OP“)</w:t>
      </w:r>
      <w:r>
        <w:rPr>
          <w:rFonts w:ascii="Arial Narrow" w:hAnsi="Arial Narrow" w:cs="Arial"/>
          <w:b/>
          <w:sz w:val="22"/>
          <w:u w:val="single"/>
        </w:rPr>
        <w:t>,</w:t>
      </w:r>
      <w:r w:rsidRPr="003522A8">
        <w:rPr>
          <w:rFonts w:ascii="Arial Narrow" w:hAnsi="Arial Narrow" w:cs="Arial"/>
          <w:b/>
          <w:sz w:val="22"/>
          <w:u w:val="single"/>
        </w:rPr>
        <w:t xml:space="preserve"> odborných skúšok ( ďalej len „ OS“) a opakovaných úradných skúšok  VTZ </w:t>
      </w:r>
      <w:r>
        <w:rPr>
          <w:rFonts w:ascii="Arial Narrow" w:hAnsi="Arial Narrow" w:cs="Arial"/>
          <w:b/>
          <w:sz w:val="22"/>
          <w:u w:val="single"/>
        </w:rPr>
        <w:t>zdvíhacích</w:t>
      </w:r>
      <w:r w:rsidRPr="003522A8">
        <w:rPr>
          <w:rFonts w:ascii="Arial Narrow" w:hAnsi="Arial Narrow" w:cs="Arial"/>
          <w:b/>
          <w:sz w:val="22"/>
          <w:u w:val="single"/>
        </w:rPr>
        <w:t xml:space="preserve"> počas prevádzky (príloha č.</w:t>
      </w:r>
      <w:r>
        <w:rPr>
          <w:rFonts w:ascii="Arial Narrow" w:hAnsi="Arial Narrow" w:cs="Arial"/>
          <w:b/>
          <w:sz w:val="22"/>
          <w:u w:val="single"/>
        </w:rPr>
        <w:t>7</w:t>
      </w:r>
      <w:r w:rsidRPr="003522A8">
        <w:rPr>
          <w:rFonts w:ascii="Arial Narrow" w:hAnsi="Arial Narrow" w:cs="Arial"/>
          <w:b/>
          <w:sz w:val="22"/>
          <w:u w:val="single"/>
        </w:rPr>
        <w:t xml:space="preserve"> k </w:t>
      </w:r>
      <w:r w:rsidRPr="003522A8">
        <w:rPr>
          <w:rStyle w:val="h1a1"/>
          <w:rFonts w:ascii="Arial Narrow" w:hAnsi="Arial Narrow"/>
          <w:b/>
          <w:sz w:val="22"/>
          <w:u w:val="single"/>
          <w:specVanish w:val="0"/>
        </w:rPr>
        <w:t>vyhláške č. 508/2009 Z.z.)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896"/>
        <w:gridCol w:w="1507"/>
        <w:gridCol w:w="1100"/>
        <w:gridCol w:w="917"/>
        <w:gridCol w:w="1687"/>
        <w:gridCol w:w="1250"/>
        <w:gridCol w:w="1058"/>
      </w:tblGrid>
      <w:tr w:rsidR="00597015" w:rsidRPr="0090498C" w:rsidTr="005C4BF5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Technické zariadenie zdvíhacie</w:t>
            </w:r>
          </w:p>
        </w:tc>
        <w:tc>
          <w:tcPr>
            <w:tcW w:w="0" w:type="auto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Prevádzka</w:t>
            </w:r>
          </w:p>
        </w:tc>
      </w:tr>
      <w:tr w:rsidR="00597015" w:rsidRPr="0090498C" w:rsidTr="005C4BF5">
        <w:tc>
          <w:tcPr>
            <w:tcW w:w="0" w:type="auto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Skupina/</w:t>
            </w: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br/>
              <w:t>druh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Opakovaná úradná skúška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Skúška po rekonštrukcii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Prehliadka a skúška po oprave</w:t>
            </w:r>
            <w:hyperlink r:id="rId6" w:anchor="f6822758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2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Odborná prehliadka a odborná skúška</w:t>
            </w:r>
            <w:hyperlink r:id="rId7" w:anchor="f6822757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1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</w:tr>
      <w:tr w:rsidR="00597015" w:rsidRPr="0090498C" w:rsidTr="005C4BF5"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Montážna skúška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Úradná skúška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Odborná prehliadka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Odborná skúška</w:t>
            </w:r>
          </w:p>
        </w:tc>
      </w:tr>
      <w:tr w:rsidR="00597015" w:rsidRPr="0090498C" w:rsidTr="005C4BF5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  <w:hyperlink r:id="rId8" w:anchor="f6822759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3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RT/2r</w:t>
            </w:r>
            <w:hyperlink r:id="rId9" w:anchor="f6822760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4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  <w:hyperlink r:id="rId10" w:anchor="f6822761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5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RT/4r</w:t>
            </w:r>
            <w:hyperlink r:id="rId11" w:anchor="f6822760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4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  <w:hyperlink r:id="rId12" w:anchor="f6822761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5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RT/2r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RT/2r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RT/1r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i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RT/1r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i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RT/1r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j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RT/2r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j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RT/2r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</w:p>
        </w:tc>
      </w:tr>
      <w:tr w:rsidR="00597015" w:rsidRPr="0090498C" w:rsidTr="005C4BF5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a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RT/3r</w:t>
            </w:r>
            <w:hyperlink r:id="rId13" w:anchor="f6822760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4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RT/6r</w:t>
            </w:r>
            <w:hyperlink r:id="rId14" w:anchor="f6822760" w:history="1"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vertAlign w:val="superscript"/>
                  <w:lang w:eastAsia="sk-SK"/>
                </w:rPr>
                <w:t>4</w:t>
              </w:r>
              <w:r w:rsidRPr="0090498C">
                <w:rPr>
                  <w:rFonts w:ascii="Arial Narrow" w:hAnsi="Arial Narrow"/>
                  <w:b/>
                  <w:bCs/>
                  <w:color w:val="05507A"/>
                  <w:szCs w:val="20"/>
                  <w:lang w:eastAsia="sk-SK"/>
                </w:rPr>
                <w:t>)</w:t>
              </w:r>
            </w:hyperlink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RT/TPV</w:t>
            </w:r>
          </w:p>
        </w:tc>
      </w:tr>
      <w:tr w:rsidR="00597015" w:rsidRPr="0090498C" w:rsidTr="005C4BF5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</w:tr>
      <w:tr w:rsidR="00597015" w:rsidRPr="0090498C" w:rsidTr="005C4BF5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97015" w:rsidRPr="0090498C" w:rsidRDefault="00597015" w:rsidP="005C4BF5">
            <w:pPr>
              <w:spacing w:after="0" w:line="240" w:lineRule="auto"/>
              <w:rPr>
                <w:rFonts w:ascii="Arial Narrow" w:hAnsi="Arial Narrow"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97015" w:rsidRPr="0090498C" w:rsidRDefault="00597015" w:rsidP="005C4BF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  <w:lang w:eastAsia="sk-SK"/>
              </w:rPr>
            </w:pPr>
            <w:r w:rsidRPr="0090498C">
              <w:rPr>
                <w:rFonts w:ascii="Arial Narrow" w:hAnsi="Arial Narrow"/>
                <w:color w:val="000000"/>
                <w:szCs w:val="20"/>
                <w:lang w:eastAsia="sk-SK"/>
              </w:rPr>
              <w:t>O/TPV</w:t>
            </w:r>
          </w:p>
        </w:tc>
      </w:tr>
    </w:tbl>
    <w:p w:rsidR="00597015" w:rsidRPr="0090498C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90498C">
        <w:rPr>
          <w:rFonts w:ascii="Arial Narrow" w:hAnsi="Arial Narrow"/>
          <w:color w:val="000000"/>
          <w:sz w:val="16"/>
          <w:szCs w:val="16"/>
          <w:lang w:eastAsia="sk-SK"/>
        </w:rPr>
        <w:t>Vysvetlivky: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22"/>
          <w:vertAlign w:val="superscript"/>
          <w:lang w:eastAsia="sk-SK"/>
        </w:rPr>
        <w:t>1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) Lehoty platia, ak technické podmienky výrobcu neurčujú kratšie lehoty.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  <w:lang w:eastAsia="sk-SK"/>
        </w:rPr>
        <w:t>2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 xml:space="preserve">) Podľa </w:t>
      </w:r>
      <w:hyperlink r:id="rId15" w:anchor="f6822344" w:history="1">
        <w:r w:rsidRPr="00F64824">
          <w:rPr>
            <w:rFonts w:ascii="Arial Narrow" w:hAnsi="Arial Narrow"/>
            <w:color w:val="05507A"/>
            <w:sz w:val="16"/>
            <w:szCs w:val="16"/>
            <w:lang w:eastAsia="sk-SK"/>
          </w:rPr>
          <w:t>§ 18 ods. 1</w:t>
        </w:r>
      </w:hyperlink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.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  <w:lang w:eastAsia="sk-SK"/>
        </w:rPr>
        <w:t>3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) Pre dočasnú žeriavovú dráhu sa nevyžaduje.</w:t>
      </w:r>
    </w:p>
    <w:p w:rsidR="00597015" w:rsidRPr="00F64824" w:rsidRDefault="00597015" w:rsidP="00597015">
      <w:pPr>
        <w:spacing w:after="0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  <w:lang w:eastAsia="sk-SK"/>
        </w:rPr>
        <w:t>4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) Pre trvalé žeriavové dráhy, pre stavebné žeriavy, mobilné žeriavy (cestné výložníkové), lanové žeriavy, nakladacie žeriavy (hydraulické ruky), železničné žeriavy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 xml:space="preserve"> 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a pre žeriavy v horúcom alebo v agresívnom prostredí je lehota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br/>
        <w:t xml:space="preserve">– odborných prehliadok jeden rok, 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br/>
        <w:t xml:space="preserve">– odborných skúšok dva roky. 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  <w:lang w:eastAsia="sk-SK"/>
        </w:rPr>
        <w:t>5</w:t>
      </w: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) Pre dočasnú žeriavovú dráhu v lehotách podľa technických podmienok výrobcu.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RT – revízny technik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TPV – lehoty podľa technických podmienok výrobcu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OPO – oprávnená právnická osoba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O – prevádzkovateľom určená osoba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X – nevyžaduje sa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r – roky</w:t>
      </w:r>
    </w:p>
    <w:p w:rsidR="00597015" w:rsidRPr="00F64824" w:rsidRDefault="00597015" w:rsidP="00597015">
      <w:pPr>
        <w:spacing w:after="0"/>
        <w:jc w:val="both"/>
        <w:rPr>
          <w:rFonts w:ascii="Arial Narrow" w:hAnsi="Arial Narrow"/>
          <w:color w:val="000000"/>
          <w:sz w:val="16"/>
          <w:szCs w:val="16"/>
          <w:lang w:eastAsia="sk-SK"/>
        </w:rPr>
      </w:pPr>
      <w:r w:rsidRPr="00F64824">
        <w:rPr>
          <w:rFonts w:ascii="Arial Narrow" w:hAnsi="Arial Narrow"/>
          <w:color w:val="000000"/>
          <w:sz w:val="16"/>
          <w:szCs w:val="16"/>
          <w:lang w:eastAsia="sk-SK"/>
        </w:rPr>
        <w:t>m – mesiace</w:t>
      </w:r>
    </w:p>
    <w:p w:rsidR="00597015" w:rsidRPr="008F4360" w:rsidRDefault="00597015" w:rsidP="00597015">
      <w:pPr>
        <w:pStyle w:val="Zkladntext1"/>
        <w:spacing w:after="240" w:line="274" w:lineRule="exact"/>
        <w:ind w:right="40" w:firstLine="0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lastRenderedPageBreak/>
        <w:t>O</w:t>
      </w:r>
      <w:r w:rsidRPr="008F4360">
        <w:rPr>
          <w:rFonts w:ascii="Arial Narrow" w:hAnsi="Arial Narrow"/>
          <w:color w:val="333333"/>
          <w:sz w:val="22"/>
          <w:szCs w:val="22"/>
        </w:rPr>
        <w:t xml:space="preserve">dborné prehliadky, odborné skúšky a opakované úradné skúšky </w:t>
      </w:r>
      <w:r w:rsidR="00473FA4" w:rsidRPr="00473FA4">
        <w:rPr>
          <w:rFonts w:ascii="Arial Narrow" w:hAnsi="Arial Narrow"/>
          <w:sz w:val="22"/>
          <w:szCs w:val="22"/>
        </w:rPr>
        <w:t>vrátane asistenčných služieb servisnej organizácie</w:t>
      </w:r>
      <w:r w:rsidR="00473FA4">
        <w:rPr>
          <w:rFonts w:ascii="Arial Narrow" w:hAnsi="Arial Narrow"/>
          <w:color w:val="333333"/>
          <w:sz w:val="22"/>
          <w:szCs w:val="22"/>
        </w:rPr>
        <w:t xml:space="preserve"> </w:t>
      </w:r>
      <w:r>
        <w:rPr>
          <w:rFonts w:ascii="Arial Narrow" w:hAnsi="Arial Narrow"/>
          <w:color w:val="333333"/>
          <w:sz w:val="22"/>
          <w:szCs w:val="22"/>
        </w:rPr>
        <w:t xml:space="preserve">vybraných </w:t>
      </w:r>
      <w:r w:rsidRPr="008F4360">
        <w:rPr>
          <w:rFonts w:ascii="Arial Narrow" w:hAnsi="Arial Narrow"/>
          <w:color w:val="333333"/>
          <w:sz w:val="22"/>
          <w:szCs w:val="22"/>
        </w:rPr>
        <w:t xml:space="preserve">VTZ </w:t>
      </w:r>
      <w:r>
        <w:rPr>
          <w:rFonts w:ascii="Arial Narrow" w:hAnsi="Arial Narrow"/>
          <w:color w:val="333333"/>
          <w:sz w:val="22"/>
          <w:szCs w:val="22"/>
        </w:rPr>
        <w:t>zdvíhacích</w:t>
      </w:r>
      <w:r w:rsidRPr="008F4360">
        <w:rPr>
          <w:rFonts w:ascii="Arial Narrow" w:hAnsi="Arial Narrow"/>
          <w:color w:val="333333"/>
          <w:sz w:val="22"/>
          <w:szCs w:val="22"/>
        </w:rPr>
        <w:t xml:space="preserve"> </w:t>
      </w:r>
      <w:r w:rsidRPr="00473FA4">
        <w:rPr>
          <w:rFonts w:ascii="Arial Narrow" w:hAnsi="Arial Narrow"/>
          <w:sz w:val="22"/>
          <w:szCs w:val="22"/>
        </w:rPr>
        <w:t>sa budú vykonávať  za účasti prevádzkovateľa zariadení, resp</w:t>
      </w:r>
      <w:r>
        <w:rPr>
          <w:rFonts w:ascii="Arial Narrow" w:hAnsi="Arial Narrow"/>
          <w:color w:val="333333"/>
          <w:sz w:val="22"/>
          <w:szCs w:val="22"/>
        </w:rPr>
        <w:t xml:space="preserve">. ním poverenej obsluhy  zdvíhacích zariadení, </w:t>
      </w:r>
      <w:r w:rsidRPr="008F4360">
        <w:rPr>
          <w:rFonts w:ascii="Arial Narrow" w:hAnsi="Arial Narrow"/>
          <w:color w:val="333333"/>
          <w:sz w:val="22"/>
          <w:szCs w:val="22"/>
        </w:rPr>
        <w:t>správcu objektu</w:t>
      </w:r>
      <w:r>
        <w:rPr>
          <w:rFonts w:ascii="Arial Narrow" w:hAnsi="Arial Narrow"/>
          <w:color w:val="333333"/>
          <w:sz w:val="22"/>
          <w:szCs w:val="22"/>
        </w:rPr>
        <w:t xml:space="preserve">, </w:t>
      </w:r>
      <w:r w:rsidRPr="008F4360">
        <w:rPr>
          <w:rFonts w:ascii="Arial Narrow" w:hAnsi="Arial Narrow"/>
          <w:color w:val="333333"/>
          <w:sz w:val="22"/>
          <w:szCs w:val="22"/>
        </w:rPr>
        <w:t>resp.</w:t>
      </w:r>
      <w:r>
        <w:rPr>
          <w:rFonts w:ascii="Arial Narrow" w:hAnsi="Arial Narrow"/>
          <w:color w:val="333333"/>
          <w:sz w:val="22"/>
          <w:szCs w:val="22"/>
        </w:rPr>
        <w:t xml:space="preserve"> </w:t>
      </w:r>
      <w:r w:rsidRPr="008F4360">
        <w:rPr>
          <w:rFonts w:ascii="Arial Narrow" w:hAnsi="Arial Narrow"/>
          <w:color w:val="333333"/>
          <w:sz w:val="22"/>
          <w:szCs w:val="22"/>
        </w:rPr>
        <w:t>pracovníka centra podpory</w:t>
      </w:r>
      <w:r>
        <w:rPr>
          <w:rFonts w:ascii="Arial Narrow" w:hAnsi="Arial Narrow"/>
          <w:color w:val="333333"/>
          <w:sz w:val="22"/>
          <w:szCs w:val="22"/>
        </w:rPr>
        <w:t>. O realizácii vykonania odborných prehliadok, odborných skúšok a opakovaných odborných skúšok VTZ zdvíhacích, o termíne a čase bude informovaný príslušný technik BOZP a PO v rámci svojej pôsobnosti.</w:t>
      </w:r>
      <w:r w:rsidRPr="008F4360">
        <w:rPr>
          <w:rFonts w:ascii="Arial Narrow" w:hAnsi="Arial Narrow"/>
          <w:color w:val="333333"/>
          <w:sz w:val="22"/>
          <w:szCs w:val="22"/>
        </w:rPr>
        <w:t xml:space="preserve"> </w:t>
      </w:r>
    </w:p>
    <w:p w:rsidR="00597015" w:rsidRPr="00F34E4F" w:rsidRDefault="00597015" w:rsidP="00597015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8F4360">
        <w:rPr>
          <w:rFonts w:ascii="Arial Narrow" w:hAnsi="Arial Narrow"/>
          <w:color w:val="333333"/>
          <w:sz w:val="22"/>
          <w:szCs w:val="22"/>
        </w:rPr>
        <w:t xml:space="preserve">Ročné harmonogramy OP a OS, umiestnenie VTZ </w:t>
      </w:r>
      <w:r>
        <w:rPr>
          <w:rFonts w:ascii="Arial Narrow" w:hAnsi="Arial Narrow"/>
          <w:color w:val="333333"/>
          <w:sz w:val="22"/>
          <w:szCs w:val="22"/>
        </w:rPr>
        <w:t>zdvíhacích</w:t>
      </w:r>
      <w:r w:rsidRPr="008F4360">
        <w:rPr>
          <w:rFonts w:ascii="Arial Narrow" w:hAnsi="Arial Narrow"/>
          <w:color w:val="333333"/>
          <w:sz w:val="22"/>
          <w:szCs w:val="22"/>
        </w:rPr>
        <w:t>, typové označenie a počet v objektoch a </w:t>
      </w:r>
      <w:r>
        <w:rPr>
          <w:rFonts w:ascii="Arial Narrow" w:hAnsi="Arial Narrow"/>
          <w:color w:val="333333"/>
          <w:sz w:val="22"/>
          <w:szCs w:val="22"/>
        </w:rPr>
        <w:t>v</w:t>
      </w:r>
      <w:r w:rsidRPr="008F4360">
        <w:rPr>
          <w:rFonts w:ascii="Arial Narrow" w:hAnsi="Arial Narrow"/>
          <w:color w:val="333333"/>
          <w:sz w:val="22"/>
          <w:szCs w:val="22"/>
        </w:rPr>
        <w:t xml:space="preserve"> zariadeniach MV</w:t>
      </w:r>
      <w:r w:rsidRPr="003522A8">
        <w:rPr>
          <w:rFonts w:ascii="Arial Narrow" w:hAnsi="Arial Narrow"/>
          <w:sz w:val="22"/>
          <w:szCs w:val="22"/>
        </w:rPr>
        <w:t xml:space="preserve"> SR budú úspešnému uchádzačovi poskytnuté.</w:t>
      </w:r>
      <w:r w:rsidRPr="00F34E4F">
        <w:rPr>
          <w:rFonts w:ascii="Arial Narrow" w:hAnsi="Arial Narrow"/>
          <w:sz w:val="22"/>
          <w:szCs w:val="22"/>
        </w:rPr>
        <w:t xml:space="preserve"> </w:t>
      </w: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5"/>
    <w:rsid w:val="002E5636"/>
    <w:rsid w:val="00473FA4"/>
    <w:rsid w:val="00597015"/>
    <w:rsid w:val="00687C43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01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597015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97015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character" w:customStyle="1" w:styleId="Zkladntext5">
    <w:name w:val="Základný text (5)_"/>
    <w:link w:val="Zkladntext50"/>
    <w:rsid w:val="00597015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9701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97015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97015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h1a1">
    <w:name w:val="h1a1"/>
    <w:rsid w:val="00597015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597015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01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">
    <w:name w:val="Základný text_"/>
    <w:link w:val="Zkladntext1"/>
    <w:rsid w:val="00597015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97015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character" w:customStyle="1" w:styleId="Zkladntext5">
    <w:name w:val="Základný text (5)_"/>
    <w:link w:val="Zkladntext50"/>
    <w:rsid w:val="00597015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9701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97015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97015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h1a1">
    <w:name w:val="h1a1"/>
    <w:rsid w:val="00597015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597015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9-508" TargetMode="External"/><Relationship Id="rId13" Type="http://schemas.openxmlformats.org/officeDocument/2006/relationships/hyperlink" Target="http://www.zakonypreludi.sk/zz/2009-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ypreludi.sk/zz/2009-508" TargetMode="External"/><Relationship Id="rId12" Type="http://schemas.openxmlformats.org/officeDocument/2006/relationships/hyperlink" Target="http://www.zakonypreludi.sk/zz/2009-5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2009-508" TargetMode="External"/><Relationship Id="rId11" Type="http://schemas.openxmlformats.org/officeDocument/2006/relationships/hyperlink" Target="http://www.zakonypreludi.sk/zz/2009-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09-508" TargetMode="External"/><Relationship Id="rId10" Type="http://schemas.openxmlformats.org/officeDocument/2006/relationships/hyperlink" Target="http://www.zakonypreludi.sk/zz/2009-5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9-508" TargetMode="External"/><Relationship Id="rId14" Type="http://schemas.openxmlformats.org/officeDocument/2006/relationships/hyperlink" Target="http://www.zakonypreludi.sk/zz/2009-50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8769</Characters>
  <Application>Microsoft Office Word</Application>
  <DocSecurity>0</DocSecurity>
  <Lines>73</Lines>
  <Paragraphs>20</Paragraphs>
  <ScaleCrop>false</ScaleCrop>
  <Company>MVSR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2020-12-09T08:23:00Z</dcterms:created>
  <dcterms:modified xsi:type="dcterms:W3CDTF">2021-04-21T09:28:00Z</dcterms:modified>
</cp:coreProperties>
</file>