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5096E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0347A36C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6E550D45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4FEB0242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05C28801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12E842AB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7352455A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363B867B" w14:textId="77777777" w:rsidR="007C4882" w:rsidRPr="00482E18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7C4882" w:rsidRPr="00482E18" w14:paraId="4266746A" w14:textId="77777777" w:rsidTr="00385FDC">
        <w:trPr>
          <w:trHeight w:val="2700"/>
        </w:trPr>
        <w:tc>
          <w:tcPr>
            <w:tcW w:w="9073" w:type="dxa"/>
          </w:tcPr>
          <w:p w14:paraId="24A2EF08" w14:textId="77777777" w:rsidR="007C4882" w:rsidRPr="00482E18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  <w:p w14:paraId="19B8D149" w14:textId="77777777" w:rsidR="007C4882" w:rsidRPr="00482E18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  <w:p w14:paraId="6241AD04" w14:textId="77777777" w:rsidR="007C4882" w:rsidRPr="00482E18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lang w:eastAsia="en-US"/>
              </w:rPr>
            </w:pPr>
          </w:p>
          <w:p w14:paraId="0C9767F2" w14:textId="77777777" w:rsidR="007C4882" w:rsidRPr="00482E18" w:rsidRDefault="007C4882" w:rsidP="007C4882">
            <w:pPr>
              <w:tabs>
                <w:tab w:val="num" w:pos="1080"/>
                <w:tab w:val="left" w:leader="dot" w:pos="10034"/>
              </w:tabs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mallCaps/>
                <w:lang w:eastAsia="en-US"/>
              </w:rPr>
            </w:pPr>
            <w:r w:rsidRPr="00482E18">
              <w:rPr>
                <w:rFonts w:ascii="Arial Narrow" w:eastAsia="Calibri" w:hAnsi="Arial Narrow" w:cs="Arial"/>
                <w:b/>
                <w:smallCaps/>
                <w:lang w:eastAsia="en-US"/>
              </w:rPr>
              <w:t>opis predmetu zákazky, technické požiadavky</w:t>
            </w:r>
          </w:p>
          <w:p w14:paraId="277B5B33" w14:textId="77777777" w:rsidR="007C4882" w:rsidRPr="00482E18" w:rsidRDefault="007C4882" w:rsidP="007C4882">
            <w:pPr>
              <w:tabs>
                <w:tab w:val="num" w:pos="540"/>
              </w:tabs>
              <w:spacing w:after="200" w:line="276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</w:p>
        </w:tc>
      </w:tr>
    </w:tbl>
    <w:p w14:paraId="6F8CEBE2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0C423417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62D51AEA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24766491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6CFCD52E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3A8B42FE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0B95D8BA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0EA811DE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60C23143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14E8B959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3F1B5549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16A3B613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218CC79A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30D22A79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09B44165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633D8692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4A6088CC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746CDA50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0F0037F6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166F8673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4F85B874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58020957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612D2838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1C6CCF7A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15603AB6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27B92538" w14:textId="77777777" w:rsidR="007C4882" w:rsidRPr="00482E18" w:rsidRDefault="007C4882" w:rsidP="00917DFA">
      <w:pPr>
        <w:jc w:val="both"/>
        <w:rPr>
          <w:rFonts w:ascii="Arial Narrow" w:hAnsi="Arial Narrow"/>
          <w:b/>
        </w:rPr>
      </w:pPr>
    </w:p>
    <w:p w14:paraId="04D5ABAA" w14:textId="77777777" w:rsidR="00917DFA" w:rsidRPr="00482E18" w:rsidRDefault="002C7EE7" w:rsidP="00917DFA">
      <w:pPr>
        <w:jc w:val="both"/>
        <w:rPr>
          <w:rFonts w:ascii="Arial Narrow" w:hAnsi="Arial Narrow"/>
          <w:b/>
        </w:rPr>
      </w:pPr>
      <w:r w:rsidRPr="00482E18">
        <w:rPr>
          <w:rFonts w:ascii="Arial Narrow" w:hAnsi="Arial Narrow"/>
          <w:b/>
        </w:rPr>
        <w:t>O</w:t>
      </w:r>
      <w:r w:rsidR="00917DFA" w:rsidRPr="00482E18">
        <w:rPr>
          <w:rFonts w:ascii="Arial Narrow" w:hAnsi="Arial Narrow"/>
          <w:b/>
        </w:rPr>
        <w:t>pis predmetu zákazky, technické požiadavky:</w:t>
      </w:r>
    </w:p>
    <w:p w14:paraId="142755D4" w14:textId="77777777" w:rsidR="00873152" w:rsidRPr="00482E18" w:rsidRDefault="00873152" w:rsidP="00873152">
      <w:pPr>
        <w:rPr>
          <w:rFonts w:ascii="Arial Narrow" w:eastAsiaTheme="minorHAnsi" w:hAnsi="Arial Narrow"/>
          <w:lang w:eastAsia="en-US"/>
        </w:rPr>
      </w:pPr>
    </w:p>
    <w:p w14:paraId="73118F9C" w14:textId="018F0427" w:rsidR="00333BC8" w:rsidRPr="00482E18" w:rsidRDefault="00225983" w:rsidP="00225983">
      <w:pPr>
        <w:jc w:val="both"/>
        <w:rPr>
          <w:rFonts w:ascii="Arial Narrow" w:hAnsi="Arial Narrow"/>
        </w:rPr>
      </w:pPr>
      <w:r w:rsidRPr="00482E18">
        <w:rPr>
          <w:rFonts w:ascii="Arial Narrow" w:hAnsi="Arial Narrow"/>
        </w:rPr>
        <w:t xml:space="preserve">Univerzálne syntetické penidlo, ktoré na základe povrchovo aktívnych látok spolu so stabilizátormi peny a látkami zabraňujúcimi zamŕzaniu, tvoria účinný koncentrát penotvorného prostriedku, ktorý sa používa na hasenie požiarov triedy A </w:t>
      </w:r>
      <w:proofErr w:type="spellStart"/>
      <w:r w:rsidRPr="00482E18">
        <w:rPr>
          <w:rFonts w:ascii="Arial Narrow" w:hAnsi="Arial Narrow"/>
        </w:rPr>
        <w:t>a</w:t>
      </w:r>
      <w:proofErr w:type="spellEnd"/>
      <w:r w:rsidRPr="00482E18">
        <w:rPr>
          <w:rFonts w:ascii="Arial Narrow" w:hAnsi="Arial Narrow"/>
        </w:rPr>
        <w:t xml:space="preserve"> B a ako </w:t>
      </w:r>
      <w:proofErr w:type="spellStart"/>
      <w:r w:rsidRPr="00482E18">
        <w:rPr>
          <w:rFonts w:ascii="Arial Narrow" w:hAnsi="Arial Narrow"/>
        </w:rPr>
        <w:t>zmáčadlo</w:t>
      </w:r>
      <w:proofErr w:type="spellEnd"/>
      <w:r w:rsidRPr="00482E18">
        <w:rPr>
          <w:rFonts w:ascii="Arial Narrow" w:hAnsi="Arial Narrow"/>
        </w:rPr>
        <w:t>.</w:t>
      </w:r>
    </w:p>
    <w:p w14:paraId="669F04D0" w14:textId="7D8885B0" w:rsidR="00225983" w:rsidRPr="00482E18" w:rsidRDefault="00225983" w:rsidP="00225983">
      <w:pPr>
        <w:jc w:val="both"/>
        <w:rPr>
          <w:rFonts w:ascii="Arial Narrow" w:hAnsi="Arial Narrow"/>
        </w:rPr>
      </w:pPr>
    </w:p>
    <w:p w14:paraId="797DAC57" w14:textId="0DE0FB7F" w:rsidR="00225983" w:rsidRPr="00482E18" w:rsidRDefault="00225983" w:rsidP="00225983">
      <w:pPr>
        <w:jc w:val="both"/>
        <w:rPr>
          <w:rFonts w:ascii="Arial Narrow" w:hAnsi="Arial Narrow"/>
        </w:rPr>
      </w:pPr>
      <w:r w:rsidRPr="00482E18">
        <w:rPr>
          <w:rFonts w:ascii="Arial Narrow" w:hAnsi="Arial Narrow"/>
        </w:rPr>
        <w:t>Parametre predmetu zákazky: Univerzálne syntetické penidlo miešateľné s vodou v 3% koncentráci</w:t>
      </w:r>
      <w:r w:rsidR="00880E2B">
        <w:rPr>
          <w:rFonts w:ascii="Arial Narrow" w:hAnsi="Arial Narrow"/>
        </w:rPr>
        <w:t>i</w:t>
      </w:r>
      <w:r w:rsidRPr="00482E18">
        <w:rPr>
          <w:rFonts w:ascii="Arial Narrow" w:hAnsi="Arial Narrow"/>
        </w:rPr>
        <w:t xml:space="preserve"> je určené na hasenie tuhých látok a nepolárnych horľavých kvapalín, ale aj na zakrytie uniknutej horľavej kvapaliny. Penidlo je možné použiť na výrobu ťažkej, strednej a ľahkej peny s bežne dostupnými penotvornými prúdnicami a agregátmi na výrobu ľahkej peny pre hasenie veľkoplošných požiarov triedy A </w:t>
      </w:r>
      <w:proofErr w:type="spellStart"/>
      <w:r w:rsidRPr="00482E18">
        <w:rPr>
          <w:rFonts w:ascii="Arial Narrow" w:hAnsi="Arial Narrow"/>
        </w:rPr>
        <w:t>a</w:t>
      </w:r>
      <w:proofErr w:type="spellEnd"/>
      <w:r w:rsidRPr="00482E18">
        <w:rPr>
          <w:rFonts w:ascii="Arial Narrow" w:hAnsi="Arial Narrow"/>
        </w:rPr>
        <w:t xml:space="preserve"> triedy B nepolárnych kvapalín, ktorého minimálne charakteristiky musia byť v súlade s STN EN 1568-1:20</w:t>
      </w:r>
      <w:r w:rsidR="005A152F">
        <w:rPr>
          <w:rFonts w:ascii="Arial Narrow" w:hAnsi="Arial Narrow"/>
        </w:rPr>
        <w:t>1</w:t>
      </w:r>
      <w:r w:rsidRPr="00482E18">
        <w:rPr>
          <w:rFonts w:ascii="Arial Narrow" w:hAnsi="Arial Narrow"/>
        </w:rPr>
        <w:t>8</w:t>
      </w:r>
      <w:r w:rsidR="005A152F" w:rsidRPr="005A152F">
        <w:rPr>
          <w:rFonts w:ascii="Arial Narrow" w:hAnsi="Arial Narrow"/>
          <w:b/>
        </w:rPr>
        <w:t>-08</w:t>
      </w:r>
      <w:r w:rsidRPr="00482E18">
        <w:rPr>
          <w:rFonts w:ascii="Arial Narrow" w:hAnsi="Arial Narrow"/>
        </w:rPr>
        <w:t xml:space="preserve">, STN </w:t>
      </w:r>
      <w:r w:rsidR="005A152F">
        <w:rPr>
          <w:rFonts w:ascii="Arial Narrow" w:hAnsi="Arial Narrow"/>
        </w:rPr>
        <w:t>EN 1568-2:201</w:t>
      </w:r>
      <w:r w:rsidRPr="00482E18">
        <w:rPr>
          <w:rFonts w:ascii="Arial Narrow" w:hAnsi="Arial Narrow"/>
        </w:rPr>
        <w:t>8</w:t>
      </w:r>
      <w:r w:rsidR="005A152F" w:rsidRPr="005A152F">
        <w:rPr>
          <w:rFonts w:ascii="Arial Narrow" w:hAnsi="Arial Narrow"/>
          <w:b/>
        </w:rPr>
        <w:t>-08</w:t>
      </w:r>
      <w:r w:rsidRPr="00482E18">
        <w:rPr>
          <w:rFonts w:ascii="Arial Narrow" w:hAnsi="Arial Narrow"/>
        </w:rPr>
        <w:t>, STN EN 1568-3:20</w:t>
      </w:r>
      <w:r w:rsidR="005A152F">
        <w:rPr>
          <w:rFonts w:ascii="Arial Narrow" w:hAnsi="Arial Narrow"/>
        </w:rPr>
        <w:t>18</w:t>
      </w:r>
      <w:r w:rsidR="005A152F" w:rsidRPr="005A152F">
        <w:rPr>
          <w:rFonts w:ascii="Arial Narrow" w:hAnsi="Arial Narrow"/>
          <w:b/>
        </w:rPr>
        <w:t>-09</w:t>
      </w:r>
      <w:r w:rsidRPr="005A152F">
        <w:rPr>
          <w:rFonts w:ascii="Arial Narrow" w:hAnsi="Arial Narrow"/>
          <w:b/>
        </w:rPr>
        <w:t>.</w:t>
      </w:r>
    </w:p>
    <w:p w14:paraId="19FA1DF4" w14:textId="2B5BD97B" w:rsidR="00225983" w:rsidRPr="00482E18" w:rsidRDefault="00225983" w:rsidP="00225983">
      <w:pPr>
        <w:rPr>
          <w:rFonts w:ascii="Arial Narrow" w:hAnsi="Arial Narrow"/>
        </w:rPr>
      </w:pPr>
    </w:p>
    <w:p w14:paraId="3497DFAD" w14:textId="77777777" w:rsidR="00225983" w:rsidRPr="00482E18" w:rsidRDefault="00225983" w:rsidP="00225983">
      <w:pPr>
        <w:spacing w:before="240" w:after="240" w:line="276" w:lineRule="auto"/>
        <w:rPr>
          <w:rFonts w:ascii="Arial Narrow" w:hAnsi="Arial Narrow"/>
          <w:bCs/>
          <w:shd w:val="clear" w:color="auto" w:fill="FFFFFF"/>
        </w:rPr>
      </w:pPr>
      <w:r w:rsidRPr="00225983">
        <w:rPr>
          <w:rFonts w:ascii="Arial Narrow" w:hAnsi="Arial Narrow"/>
          <w:b/>
        </w:rPr>
        <w:t>Jednotka množstva:</w:t>
      </w:r>
      <w:r w:rsidRPr="00225983">
        <w:rPr>
          <w:rFonts w:ascii="Arial Narrow" w:hAnsi="Arial Narrow"/>
        </w:rPr>
        <w:tab/>
        <w:t>LITER</w:t>
      </w: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8"/>
        <w:gridCol w:w="1857"/>
      </w:tblGrid>
      <w:tr w:rsidR="00225983" w:rsidRPr="00482E18" w14:paraId="2C2435BC" w14:textId="77777777" w:rsidTr="00042EB2"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74EA365" w14:textId="77777777" w:rsidR="00225983" w:rsidRPr="00482E18" w:rsidRDefault="00225983" w:rsidP="00225983">
            <w:pPr>
              <w:rPr>
                <w:rFonts w:ascii="Arial Narrow" w:hAnsi="Arial Narrow" w:cs="Arial"/>
                <w:b/>
              </w:rPr>
            </w:pPr>
            <w:r w:rsidRPr="00225983">
              <w:rPr>
                <w:rFonts w:ascii="Arial Narrow" w:hAnsi="Arial Narrow" w:cs="Arial"/>
                <w:b/>
              </w:rPr>
              <w:t>Požiadavka</w:t>
            </w:r>
          </w:p>
          <w:p w14:paraId="044604D7" w14:textId="12C84012" w:rsidR="00225983" w:rsidRPr="00225983" w:rsidRDefault="00225983" w:rsidP="00225983">
            <w:pPr>
              <w:rPr>
                <w:rFonts w:ascii="Arial Narrow" w:hAnsi="Arial Narrow" w:cs="Arial"/>
                <w:b/>
              </w:rPr>
            </w:pPr>
            <w:r w:rsidRPr="00225983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D345818" w14:textId="77777777" w:rsidR="00225983" w:rsidRPr="00225983" w:rsidRDefault="00225983" w:rsidP="00225983">
            <w:pPr>
              <w:rPr>
                <w:rFonts w:ascii="Arial Narrow" w:hAnsi="Arial Narrow" w:cs="Arial"/>
                <w:b/>
              </w:rPr>
            </w:pPr>
            <w:r w:rsidRPr="00225983">
              <w:rPr>
                <w:rFonts w:ascii="Arial Narrow" w:hAnsi="Arial Narrow" w:cs="Arial"/>
                <w:b/>
              </w:rPr>
              <w:t xml:space="preserve">Uchádzač uvedie skutočnú špecifikáciu dodávaného tovaru - </w:t>
            </w:r>
            <w:r w:rsidRPr="00225983">
              <w:rPr>
                <w:rFonts w:ascii="Arial Narrow" w:hAnsi="Arial Narrow" w:cs="Arial"/>
                <w:b/>
                <w:i/>
              </w:rPr>
              <w:t>vlastný návrh plnenia</w:t>
            </w:r>
          </w:p>
        </w:tc>
      </w:tr>
      <w:tr w:rsidR="00225983" w:rsidRPr="00482E18" w14:paraId="69F4E8B8" w14:textId="77777777" w:rsidTr="004616D7">
        <w:tc>
          <w:tcPr>
            <w:tcW w:w="7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F2D3B" w14:textId="77777777" w:rsidR="00225983" w:rsidRPr="00225983" w:rsidRDefault="00225983" w:rsidP="00225983">
            <w:pPr>
              <w:ind w:left="666"/>
              <w:rPr>
                <w:rFonts w:ascii="Arial Narrow" w:eastAsia="Calibri" w:hAnsi="Arial Narrow"/>
                <w:lang w:eastAsia="en-US"/>
              </w:rPr>
            </w:pPr>
            <w:r w:rsidRPr="00225983">
              <w:rPr>
                <w:rFonts w:ascii="Arial Narrow" w:eastAsia="Calibri" w:hAnsi="Arial Narrow"/>
                <w:lang w:eastAsia="en-US"/>
              </w:rPr>
              <w:t xml:space="preserve"> </w:t>
            </w:r>
          </w:p>
          <w:p w14:paraId="18D72972" w14:textId="77777777" w:rsidR="00225983" w:rsidRPr="00225983" w:rsidRDefault="00225983" w:rsidP="002259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480" w:after="240" w:line="276" w:lineRule="auto"/>
              <w:rPr>
                <w:rFonts w:ascii="Arial Narrow" w:hAnsi="Arial Narrow" w:cs="Arial"/>
                <w:b/>
              </w:rPr>
            </w:pPr>
            <w:r w:rsidRPr="00225983">
              <w:rPr>
                <w:rFonts w:ascii="Arial Narrow" w:hAnsi="Arial Narrow" w:cs="Arial"/>
                <w:b/>
              </w:rPr>
              <w:t>Univerzálne syntetické penidlo musí spĺňať minimálne charakteristiky uvedené v:</w:t>
            </w:r>
          </w:p>
          <w:p w14:paraId="115DBB61" w14:textId="267D11E0" w:rsidR="00225983" w:rsidRPr="00482E18" w:rsidRDefault="00225983" w:rsidP="00225983">
            <w:pPr>
              <w:numPr>
                <w:ilvl w:val="0"/>
                <w:numId w:val="26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STN EN 1568-1: 20</w:t>
            </w:r>
            <w:r w:rsidR="005A152F">
              <w:rPr>
                <w:rFonts w:ascii="Arial Narrow" w:eastAsia="Calibri" w:hAnsi="Arial Narrow"/>
                <w:bCs/>
                <w:shd w:val="clear" w:color="auto" w:fill="FFFFFF"/>
              </w:rPr>
              <w:t>1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8</w:t>
            </w:r>
            <w:r w:rsidR="005A152F">
              <w:rPr>
                <w:rFonts w:ascii="Arial Narrow" w:eastAsia="Calibri" w:hAnsi="Arial Narrow"/>
                <w:bCs/>
                <w:shd w:val="clear" w:color="auto" w:fill="FFFFFF"/>
              </w:rPr>
              <w:t>-08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 Hasiace látky. Penidlá. </w:t>
            </w:r>
          </w:p>
          <w:p w14:paraId="53EA3E38" w14:textId="77777777" w:rsidR="00225983" w:rsidRPr="00482E18" w:rsidRDefault="00225983" w:rsidP="00225983">
            <w:pPr>
              <w:tabs>
                <w:tab w:val="left" w:pos="742"/>
              </w:tabs>
              <w:spacing w:line="276" w:lineRule="auto"/>
              <w:ind w:left="720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Časť 1: Technické podmienky penidiel pre stredné peny   na povrchové použitie na kvapaliny nemiešateľné s vodou, </w:t>
            </w:r>
          </w:p>
          <w:p w14:paraId="5C61DD35" w14:textId="6A287787" w:rsidR="00225983" w:rsidRPr="00482E18" w:rsidRDefault="00225983" w:rsidP="00225983">
            <w:pPr>
              <w:numPr>
                <w:ilvl w:val="0"/>
                <w:numId w:val="26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STN EN 1568-2: 20</w:t>
            </w:r>
            <w:r w:rsidR="005A152F">
              <w:rPr>
                <w:rFonts w:ascii="Arial Narrow" w:eastAsia="Calibri" w:hAnsi="Arial Narrow"/>
                <w:bCs/>
                <w:shd w:val="clear" w:color="auto" w:fill="FFFFFF"/>
              </w:rPr>
              <w:t>1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8</w:t>
            </w:r>
            <w:r w:rsidR="005A152F">
              <w:rPr>
                <w:rFonts w:ascii="Arial Narrow" w:eastAsia="Calibri" w:hAnsi="Arial Narrow"/>
                <w:bCs/>
                <w:shd w:val="clear" w:color="auto" w:fill="FFFFFF"/>
              </w:rPr>
              <w:t>-08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 Hasiace látky. Penidlá. </w:t>
            </w:r>
          </w:p>
          <w:p w14:paraId="3170258D" w14:textId="77777777" w:rsidR="00225983" w:rsidRPr="00482E18" w:rsidRDefault="00225983" w:rsidP="00225983">
            <w:pPr>
              <w:tabs>
                <w:tab w:val="left" w:pos="742"/>
              </w:tabs>
              <w:spacing w:line="276" w:lineRule="auto"/>
              <w:ind w:left="720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Časť 2: Technické podmienky penidiel pre ľahké peny na povrchové použitie na kvapaliny nemiešateľné s vodou,</w:t>
            </w:r>
          </w:p>
          <w:p w14:paraId="365D7042" w14:textId="70AF70C7" w:rsidR="00225983" w:rsidRPr="00482E18" w:rsidRDefault="00225983" w:rsidP="00225983">
            <w:pPr>
              <w:numPr>
                <w:ilvl w:val="0"/>
                <w:numId w:val="26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STN EN 1568-3: 20</w:t>
            </w:r>
            <w:r w:rsidR="005A152F">
              <w:rPr>
                <w:rFonts w:ascii="Arial Narrow" w:eastAsia="Calibri" w:hAnsi="Arial Narrow"/>
                <w:bCs/>
                <w:shd w:val="clear" w:color="auto" w:fill="FFFFFF"/>
              </w:rPr>
              <w:t>18-09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 Hasiace látky. Penidlá. </w:t>
            </w:r>
          </w:p>
          <w:p w14:paraId="39A86C3E" w14:textId="77777777" w:rsidR="00225983" w:rsidRPr="00482E18" w:rsidRDefault="00225983" w:rsidP="00225983">
            <w:pPr>
              <w:tabs>
                <w:tab w:val="left" w:pos="742"/>
              </w:tabs>
              <w:spacing w:line="276" w:lineRule="auto"/>
              <w:ind w:left="720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Časť 3: Technické podmienky penidiel pre ťažké peny na povrchové použitie na kvapaliny nemiešateľné s vodou,</w:t>
            </w:r>
          </w:p>
          <w:p w14:paraId="0D4D5F51" w14:textId="77777777" w:rsidR="00225983" w:rsidRPr="00225983" w:rsidRDefault="00225983" w:rsidP="002259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480" w:after="240" w:line="276" w:lineRule="auto"/>
              <w:rPr>
                <w:rFonts w:ascii="Arial Narrow" w:hAnsi="Arial Narrow" w:cs="Arial"/>
                <w:b/>
              </w:rPr>
            </w:pPr>
            <w:r w:rsidRPr="00225983">
              <w:rPr>
                <w:rFonts w:ascii="Arial Narrow" w:hAnsi="Arial Narrow" w:cs="Arial"/>
                <w:b/>
              </w:rPr>
              <w:t xml:space="preserve">Ďalšie požiadavky: </w:t>
            </w:r>
          </w:p>
          <w:p w14:paraId="6C4E6344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penidlo musí byť netoxické pre ľudský organizmus 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br/>
              <w:t>a životné prostredie,</w:t>
            </w:r>
          </w:p>
          <w:p w14:paraId="1643146D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penidlo nesmie obsahovať </w:t>
            </w:r>
            <w:proofErr w:type="spellStart"/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fluortenzidy</w:t>
            </w:r>
            <w:proofErr w:type="spellEnd"/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,</w:t>
            </w:r>
          </w:p>
          <w:p w14:paraId="267362A8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penidlo musí byť určené pre hasenie nepolárnych kvapalín,</w:t>
            </w:r>
          </w:p>
          <w:p w14:paraId="339C7E54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pena sa nesmie miešať s horiacou kvapalnou látkou,</w:t>
            </w:r>
          </w:p>
          <w:p w14:paraId="15A7384E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pena musí byť odolná voči účinkom sálavého tepla,</w:t>
            </w:r>
          </w:p>
          <w:p w14:paraId="4B27CF5E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lastRenderedPageBreak/>
              <w:t>pena musí mať schopnosť potláčať opätovné zapálenie látok,</w:t>
            </w:r>
          </w:p>
          <w:p w14:paraId="514B2A7B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penidlo musí byť fyziologicky nezávadné a biologicky ľahko odbúrateľné v biologických čističkách, </w:t>
            </w:r>
          </w:p>
          <w:p w14:paraId="4BA988A6" w14:textId="3E8CB529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penidlo musí byť miešateľné s vodou v 3% koncentráci</w:t>
            </w:r>
            <w:r w:rsidR="00880E2B">
              <w:rPr>
                <w:rFonts w:ascii="Arial Narrow" w:eastAsia="Calibri" w:hAnsi="Arial Narrow"/>
                <w:bCs/>
                <w:shd w:val="clear" w:color="auto" w:fill="FFFFFF"/>
              </w:rPr>
              <w:t>i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 a musí byť možné ho použiť na prípravu ťažkej, strednej a ľahkej peny mobilnými hasiacimi, stabilnými hasiacimi prostriedkami alebo agregátmi pre hasenie veľkoplošných požiarov triedy A </w:t>
            </w:r>
            <w:proofErr w:type="spellStart"/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a</w:t>
            </w:r>
            <w:proofErr w:type="spellEnd"/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 triedy B horľavín uhľovodíkového typu,</w:t>
            </w:r>
          </w:p>
          <w:p w14:paraId="41EC2B96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pena vytvorená z prostriedku sa pri použití musí znášať so všetkými ostatnými vytvorenými hasiacimi penami,</w:t>
            </w:r>
          </w:p>
          <w:p w14:paraId="1C50E6D2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penidlo nesmie tvoriť žiadny sedimenty,</w:t>
            </w:r>
          </w:p>
          <w:p w14:paraId="66B3CB25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teplota tuhnutia musí byť minimálne -15°C,</w:t>
            </w:r>
          </w:p>
          <w:p w14:paraId="1A8547E0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teplota varu musí byť vyššia ako 90°C,</w:t>
            </w:r>
          </w:p>
          <w:p w14:paraId="06231267" w14:textId="77777777" w:rsidR="00225983" w:rsidRPr="00482E18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>teplota skladovania musí byť v rozsahu minimálne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br/>
              <w:t xml:space="preserve"> -10 až +50°C,</w:t>
            </w:r>
          </w:p>
          <w:p w14:paraId="0A85AB79" w14:textId="24CD1FF5" w:rsidR="00225983" w:rsidRDefault="00225983" w:rsidP="00225983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eastAsia="Calibri" w:hAnsi="Arial Narrow"/>
                <w:bCs/>
                <w:shd w:val="clear" w:color="auto" w:fill="FFFFFF"/>
              </w:rPr>
            </w:pP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t xml:space="preserve">životnosť penidla musí byť minimálne 10 rokov </w:t>
            </w:r>
            <w:r w:rsidRPr="00482E18">
              <w:rPr>
                <w:rFonts w:ascii="Arial Narrow" w:eastAsia="Calibri" w:hAnsi="Arial Narrow"/>
                <w:bCs/>
                <w:shd w:val="clear" w:color="auto" w:fill="FFFFFF"/>
              </w:rPr>
              <w:br/>
              <w:t>v pôvodnom obale,</w:t>
            </w:r>
          </w:p>
          <w:p w14:paraId="487112E9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rozpustnosť vo vode musí byť 100%,</w:t>
            </w:r>
          </w:p>
          <w:p w14:paraId="34EF5261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hodnota pH penidla pri teplote 20 °C ± 1 °C nesmie byť menšia ako 6,0 a väčšia ako 9,5.</w:t>
            </w:r>
          </w:p>
          <w:p w14:paraId="5C3835FE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hustota pri teplote 20 °C musí byť 700 – 1200 kg/m</w:t>
            </w: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  <w:vertAlign w:val="superscript"/>
              </w:rPr>
              <w:t>3</w:t>
            </w:r>
          </w:p>
          <w:p w14:paraId="737C3A8B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polčas rozpadu ťažkej peny musí byť </w:t>
            </w:r>
            <w:r w:rsidRPr="002E30E8">
              <w:rPr>
                <w:rStyle w:val="Siln"/>
                <w:rFonts w:ascii="Arial Narrow" w:eastAsia="Calibri" w:hAnsi="Arial Narrow" w:cs="Arial"/>
                <w:b w:val="0"/>
                <w:shd w:val="clear" w:color="auto" w:fill="FFFFFF"/>
              </w:rPr>
              <w:t>&gt;</w:t>
            </w: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 15 minút,</w:t>
            </w:r>
          </w:p>
          <w:p w14:paraId="7FDEEE90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polčas rozpadu strednej peny musí byť </w:t>
            </w:r>
            <w:r w:rsidRPr="002E30E8">
              <w:rPr>
                <w:rStyle w:val="Siln"/>
                <w:rFonts w:ascii="Arial Narrow" w:eastAsia="Calibri" w:hAnsi="Arial Narrow" w:cs="Arial"/>
                <w:b w:val="0"/>
                <w:shd w:val="clear" w:color="auto" w:fill="FFFFFF"/>
              </w:rPr>
              <w:t>&gt;</w:t>
            </w: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 12 minút,</w:t>
            </w:r>
          </w:p>
          <w:p w14:paraId="2673051F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polčas rozpadu ľahkej peny musí byť </w:t>
            </w:r>
            <w:r w:rsidRPr="002E30E8">
              <w:rPr>
                <w:rStyle w:val="Siln"/>
                <w:rFonts w:ascii="Arial Narrow" w:eastAsia="Calibri" w:hAnsi="Arial Narrow" w:cs="Arial"/>
                <w:b w:val="0"/>
                <w:shd w:val="clear" w:color="auto" w:fill="FFFFFF"/>
              </w:rPr>
              <w:t>&gt;</w:t>
            </w: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 6 minút,</w:t>
            </w:r>
          </w:p>
          <w:p w14:paraId="25984503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číslo napenenie ťažkej peny musí byť &lt; 20,</w:t>
            </w:r>
          </w:p>
          <w:p w14:paraId="5D9C5A42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číslo napenenia strednej peny musí byť od 20 do 200,</w:t>
            </w:r>
          </w:p>
          <w:p w14:paraId="523F6B78" w14:textId="77777777" w:rsidR="0033266A" w:rsidRPr="002E30E8" w:rsidRDefault="0033266A" w:rsidP="0033266A">
            <w:pPr>
              <w:numPr>
                <w:ilvl w:val="0"/>
                <w:numId w:val="27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číslo napenenia ľahkej peny musí byť </w:t>
            </w:r>
            <w:r w:rsidRPr="002E30E8">
              <w:rPr>
                <w:rStyle w:val="Siln"/>
                <w:rFonts w:ascii="Arial Narrow" w:eastAsia="Calibri" w:hAnsi="Arial Narrow" w:cs="Arial"/>
                <w:b w:val="0"/>
                <w:shd w:val="clear" w:color="auto" w:fill="FFFFFF"/>
              </w:rPr>
              <w:t>&gt;</w:t>
            </w:r>
            <w:r w:rsidRPr="002E30E8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 200.</w:t>
            </w:r>
          </w:p>
          <w:p w14:paraId="29E806A0" w14:textId="0BD350E7" w:rsidR="00225983" w:rsidRPr="00AF174C" w:rsidRDefault="002E30E8" w:rsidP="00AF17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480" w:after="240"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Iné požiadavky:</w:t>
            </w:r>
          </w:p>
          <w:p w14:paraId="462C2FDF" w14:textId="77777777" w:rsidR="00AC0DA2" w:rsidRPr="0033266A" w:rsidRDefault="00AC0DA2" w:rsidP="00AC0DA2">
            <w:pPr>
              <w:numPr>
                <w:ilvl w:val="0"/>
                <w:numId w:val="2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rPr>
                <w:rFonts w:ascii="Arial Narrow" w:hAnsi="Arial Narrow"/>
              </w:rPr>
            </w:pPr>
            <w:r w:rsidRPr="0033266A">
              <w:rPr>
                <w:rFonts w:ascii="Arial Narrow" w:hAnsi="Arial Narrow"/>
              </w:rPr>
              <w:t xml:space="preserve">vyhlásenie výrobcu, že penidlo je úplne miešateľné </w:t>
            </w:r>
            <w:r w:rsidRPr="0033266A">
              <w:rPr>
                <w:rFonts w:ascii="Arial Narrow" w:hAnsi="Arial Narrow"/>
              </w:rPr>
              <w:br/>
              <w:t xml:space="preserve">s penidlom </w:t>
            </w:r>
            <w:proofErr w:type="spellStart"/>
            <w:r w:rsidRPr="0033266A">
              <w:rPr>
                <w:rFonts w:ascii="Arial Narrow" w:hAnsi="Arial Narrow"/>
              </w:rPr>
              <w:t>Sthamex</w:t>
            </w:r>
            <w:proofErr w:type="spellEnd"/>
            <w:r w:rsidRPr="0033266A">
              <w:rPr>
                <w:rFonts w:ascii="Arial Narrow" w:hAnsi="Arial Narrow"/>
              </w:rPr>
              <w:t xml:space="preserve"> F-15 3% (neplatí v prípade, </w:t>
            </w:r>
            <w:r w:rsidRPr="0033266A">
              <w:rPr>
                <w:rFonts w:ascii="Arial Narrow" w:hAnsi="Arial Narrow"/>
              </w:rPr>
              <w:br/>
              <w:t>že ponúkaný produkt je uvedené penidlo),</w:t>
            </w:r>
          </w:p>
          <w:p w14:paraId="28355FDF" w14:textId="77777777" w:rsidR="00AC0DA2" w:rsidRPr="0033266A" w:rsidRDefault="00AC0DA2" w:rsidP="00AC0DA2">
            <w:pPr>
              <w:numPr>
                <w:ilvl w:val="0"/>
                <w:numId w:val="2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rPr>
                <w:rFonts w:ascii="Arial Narrow" w:hAnsi="Arial Narrow"/>
              </w:rPr>
            </w:pPr>
            <w:r w:rsidRPr="0033266A">
              <w:rPr>
                <w:rFonts w:ascii="Arial Narrow" w:hAnsi="Arial Narrow"/>
              </w:rPr>
              <w:t xml:space="preserve">stanovisko alebo odborné vyjadrenie dotknutých orgánov štátnej správy (napríklad Ministerstva zdravotníctva Slovenskej republiky, Ministerstva životného prostredia Slovenskej republiky, hlavného hygienika Slovenskej republiky), </w:t>
            </w:r>
            <w:r w:rsidRPr="0033266A">
              <w:rPr>
                <w:rFonts w:ascii="Arial Narrow" w:hAnsi="Arial Narrow" w:cs="Arial"/>
              </w:rPr>
              <w:t>z ktorého bude zrejmé splnenie požiadavky na predmet zákazky podľa bodu 2 písm. g) uvedeného vyššie,</w:t>
            </w:r>
          </w:p>
          <w:p w14:paraId="22ABAA08" w14:textId="77777777" w:rsidR="00AC0DA2" w:rsidRPr="0033266A" w:rsidRDefault="00AC0DA2" w:rsidP="00AC0DA2">
            <w:pPr>
              <w:numPr>
                <w:ilvl w:val="0"/>
                <w:numId w:val="2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rPr>
                <w:rFonts w:ascii="Arial Narrow" w:hAnsi="Arial Narrow"/>
              </w:rPr>
            </w:pPr>
            <w:r w:rsidRPr="0033266A">
              <w:rPr>
                <w:rFonts w:ascii="Arial Narrow" w:hAnsi="Arial Narrow"/>
              </w:rPr>
              <w:t xml:space="preserve">karta bezpečnostných údajov, technické podmienky </w:t>
            </w:r>
            <w:r w:rsidRPr="0033266A">
              <w:rPr>
                <w:rFonts w:ascii="Arial Narrow" w:hAnsi="Arial Narrow"/>
              </w:rPr>
              <w:br/>
              <w:t>a parametre výrobku,</w:t>
            </w:r>
          </w:p>
          <w:p w14:paraId="2EA6BB57" w14:textId="77777777" w:rsidR="00AC0DA2" w:rsidRPr="0033266A" w:rsidRDefault="00AC0DA2" w:rsidP="00AC0DA2">
            <w:pPr>
              <w:numPr>
                <w:ilvl w:val="0"/>
                <w:numId w:val="25"/>
              </w:numPr>
              <w:tabs>
                <w:tab w:val="left" w:pos="742"/>
                <w:tab w:val="left" w:pos="2880"/>
                <w:tab w:val="left" w:pos="4500"/>
              </w:tabs>
              <w:spacing w:line="276" w:lineRule="auto"/>
              <w:rPr>
                <w:rFonts w:ascii="Arial Narrow" w:hAnsi="Arial Narrow"/>
              </w:rPr>
            </w:pPr>
            <w:r w:rsidRPr="0033266A">
              <w:rPr>
                <w:rFonts w:ascii="Arial Narrow" w:hAnsi="Arial Narrow"/>
              </w:rPr>
              <w:t>Penidlo musí byť balené v 1 000 lit. IBC kontajneroch.</w:t>
            </w:r>
          </w:p>
          <w:p w14:paraId="737246BF" w14:textId="77777777" w:rsidR="00225983" w:rsidRPr="0033266A" w:rsidRDefault="00225983" w:rsidP="00225983">
            <w:pPr>
              <w:tabs>
                <w:tab w:val="left" w:pos="884"/>
              </w:tabs>
              <w:spacing w:line="276" w:lineRule="auto"/>
              <w:rPr>
                <w:rFonts w:ascii="Arial Narrow" w:hAnsi="Arial Narrow"/>
              </w:rPr>
            </w:pPr>
          </w:p>
          <w:p w14:paraId="0211086C" w14:textId="77777777" w:rsidR="00225983" w:rsidRPr="00225983" w:rsidRDefault="00225983" w:rsidP="00225983">
            <w:pPr>
              <w:tabs>
                <w:tab w:val="left" w:pos="884"/>
              </w:tabs>
              <w:spacing w:line="276" w:lineRule="auto"/>
              <w:ind w:left="720"/>
              <w:rPr>
                <w:rFonts w:ascii="Arial Narrow" w:hAnsi="Arial Narrow"/>
              </w:rPr>
            </w:pPr>
            <w:r w:rsidRPr="00225983">
              <w:rPr>
                <w:rFonts w:ascii="Arial Narrow" w:eastAsia="Calibri" w:hAnsi="Arial Narrow"/>
              </w:rPr>
              <w:t xml:space="preserve">Všetky dokumenty musia byť vyhotovené </w:t>
            </w:r>
            <w:r w:rsidRPr="00225983">
              <w:rPr>
                <w:rFonts w:ascii="Arial Narrow" w:eastAsia="Calibri" w:hAnsi="Arial Narrow"/>
              </w:rPr>
              <w:br/>
              <w:t>v slovenskom jazyku (úradný preklad) akceptovaný český jazyk.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7CD499" w14:textId="77777777" w:rsidR="00225983" w:rsidRPr="00225983" w:rsidRDefault="00225983" w:rsidP="00225983">
            <w:pPr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</w:tbl>
    <w:p w14:paraId="7DB3143A" w14:textId="4A55BB3E" w:rsidR="00225983" w:rsidRPr="00482E18" w:rsidRDefault="00225983" w:rsidP="00225983">
      <w:pPr>
        <w:rPr>
          <w:rFonts w:ascii="Arial Narrow" w:hAnsi="Arial Narrow"/>
        </w:rPr>
      </w:pPr>
    </w:p>
    <w:p w14:paraId="03BF4BC9" w14:textId="77777777" w:rsidR="00333BC8" w:rsidRPr="00482E18" w:rsidRDefault="00333BC8" w:rsidP="00333BC8">
      <w:pPr>
        <w:pStyle w:val="Nadpis1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 w:rsidRPr="00482E18">
        <w:rPr>
          <w:rFonts w:ascii="Arial Narrow" w:eastAsia="Times New Roman" w:hAnsi="Arial Narrow"/>
          <w:color w:val="000000"/>
          <w:sz w:val="24"/>
          <w:szCs w:val="24"/>
        </w:rPr>
        <w:t>V 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5CCB1816" w14:textId="77777777" w:rsidR="00333BC8" w:rsidRPr="00482E18" w:rsidRDefault="00333BC8" w:rsidP="00246774">
      <w:pPr>
        <w:rPr>
          <w:rFonts w:ascii="Arial Narrow" w:hAnsi="Arial Narrow"/>
        </w:rPr>
      </w:pPr>
    </w:p>
    <w:sectPr w:rsidR="00333BC8" w:rsidRPr="00482E18" w:rsidSect="007C48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6ECC9" w14:textId="77777777" w:rsidR="00F95954" w:rsidRDefault="00F95954" w:rsidP="00917DFA">
      <w:r>
        <w:separator/>
      </w:r>
    </w:p>
  </w:endnote>
  <w:endnote w:type="continuationSeparator" w:id="0">
    <w:p w14:paraId="03AC0734" w14:textId="77777777" w:rsidR="00F95954" w:rsidRDefault="00F95954" w:rsidP="0091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DE6E3" w14:textId="77777777" w:rsidR="00EA2A31" w:rsidRDefault="00EA2A31">
    <w:pPr>
      <w:pStyle w:val="Pta"/>
    </w:pPr>
    <w:r>
      <w:rPr>
        <w:noProof/>
      </w:rPr>
      <w:drawing>
        <wp:inline distT="0" distB="0" distL="0" distR="0" wp14:anchorId="405BD807" wp14:editId="1E7B6BA6">
          <wp:extent cx="5753100" cy="495935"/>
          <wp:effectExtent l="0" t="0" r="0" b="0"/>
          <wp:docPr id="1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9A15" w14:textId="77777777" w:rsidR="005B064A" w:rsidRDefault="005B064A">
    <w:pPr>
      <w:pStyle w:val="Pta"/>
    </w:pPr>
    <w:r>
      <w:rPr>
        <w:noProof/>
      </w:rPr>
      <w:drawing>
        <wp:inline distT="0" distB="0" distL="0" distR="0" wp14:anchorId="7FDD7061" wp14:editId="6D2D3877">
          <wp:extent cx="5753100" cy="495935"/>
          <wp:effectExtent l="0" t="0" r="0" b="0"/>
          <wp:docPr id="3" name="Obrázok 3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020FE" w14:textId="77777777" w:rsidR="00F95954" w:rsidRDefault="00F95954" w:rsidP="00917DFA">
      <w:r>
        <w:separator/>
      </w:r>
    </w:p>
  </w:footnote>
  <w:footnote w:type="continuationSeparator" w:id="0">
    <w:p w14:paraId="3167D0CF" w14:textId="77777777" w:rsidR="00F95954" w:rsidRDefault="00F95954" w:rsidP="0091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C2DA" w14:textId="77777777" w:rsidR="00917DFA" w:rsidRPr="007C4882" w:rsidRDefault="00917DFA" w:rsidP="00917DFA">
    <w:pPr>
      <w:pStyle w:val="Hlavika"/>
      <w:jc w:val="right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DC03" w14:textId="77777777" w:rsidR="007C4882" w:rsidRPr="007C4882" w:rsidRDefault="007C4882" w:rsidP="007C4882">
    <w:pPr>
      <w:pStyle w:val="Hlavika"/>
      <w:jc w:val="right"/>
      <w:rPr>
        <w:rFonts w:ascii="Arial Narrow" w:hAnsi="Arial Narrow"/>
        <w:sz w:val="20"/>
        <w:szCs w:val="20"/>
      </w:rPr>
    </w:pPr>
    <w:r w:rsidRPr="007C4882">
      <w:rPr>
        <w:rFonts w:ascii="Arial Narrow" w:hAnsi="Arial Narrow"/>
        <w:sz w:val="20"/>
        <w:szCs w:val="20"/>
      </w:rPr>
      <w:t>Príloha č.1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D9D"/>
    <w:multiLevelType w:val="hybridMultilevel"/>
    <w:tmpl w:val="A5B6EB0C"/>
    <w:lvl w:ilvl="0" w:tplc="70F85C3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249C"/>
    <w:multiLevelType w:val="hybridMultilevel"/>
    <w:tmpl w:val="7DF6B9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5D01"/>
    <w:multiLevelType w:val="hybridMultilevel"/>
    <w:tmpl w:val="CDFA8902"/>
    <w:lvl w:ilvl="0" w:tplc="028AC04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4CB6"/>
    <w:multiLevelType w:val="hybridMultilevel"/>
    <w:tmpl w:val="6CC402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79FB"/>
    <w:multiLevelType w:val="hybridMultilevel"/>
    <w:tmpl w:val="C0949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190"/>
    <w:multiLevelType w:val="hybridMultilevel"/>
    <w:tmpl w:val="6EB8E146"/>
    <w:lvl w:ilvl="0" w:tplc="F0D6D2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72A3"/>
    <w:multiLevelType w:val="hybridMultilevel"/>
    <w:tmpl w:val="32043380"/>
    <w:lvl w:ilvl="0" w:tplc="D830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1436"/>
    <w:multiLevelType w:val="hybridMultilevel"/>
    <w:tmpl w:val="A060EC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4343"/>
    <w:multiLevelType w:val="hybridMultilevel"/>
    <w:tmpl w:val="4782BEBA"/>
    <w:lvl w:ilvl="0" w:tplc="6076F890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7841"/>
    <w:multiLevelType w:val="hybridMultilevel"/>
    <w:tmpl w:val="38462026"/>
    <w:lvl w:ilvl="0" w:tplc="CCA46EF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FBC"/>
    <w:multiLevelType w:val="multilevel"/>
    <w:tmpl w:val="915C07E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83F0A6E"/>
    <w:multiLevelType w:val="hybridMultilevel"/>
    <w:tmpl w:val="78640E74"/>
    <w:lvl w:ilvl="0" w:tplc="0504C5A2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A685D"/>
    <w:multiLevelType w:val="hybridMultilevel"/>
    <w:tmpl w:val="20A812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63178"/>
    <w:multiLevelType w:val="hybridMultilevel"/>
    <w:tmpl w:val="E7901E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055C"/>
    <w:multiLevelType w:val="hybridMultilevel"/>
    <w:tmpl w:val="9E0CB8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36629"/>
    <w:multiLevelType w:val="multilevel"/>
    <w:tmpl w:val="4CB04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34011F3"/>
    <w:multiLevelType w:val="hybridMultilevel"/>
    <w:tmpl w:val="A5B6EB0C"/>
    <w:lvl w:ilvl="0" w:tplc="70F85C3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07D7B"/>
    <w:multiLevelType w:val="hybridMultilevel"/>
    <w:tmpl w:val="62F006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72FA0"/>
    <w:multiLevelType w:val="multilevel"/>
    <w:tmpl w:val="8794A40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2213B7B"/>
    <w:multiLevelType w:val="hybridMultilevel"/>
    <w:tmpl w:val="A96C09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75693"/>
    <w:multiLevelType w:val="multilevel"/>
    <w:tmpl w:val="3198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8C86E64"/>
    <w:multiLevelType w:val="multilevel"/>
    <w:tmpl w:val="92C06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6"/>
  </w:num>
  <w:num w:numId="8">
    <w:abstractNumId w:val="23"/>
  </w:num>
  <w:num w:numId="9">
    <w:abstractNumId w:val="20"/>
  </w:num>
  <w:num w:numId="10">
    <w:abstractNumId w:val="0"/>
  </w:num>
  <w:num w:numId="11">
    <w:abstractNumId w:val="19"/>
  </w:num>
  <w:num w:numId="12">
    <w:abstractNumId w:val="4"/>
  </w:num>
  <w:num w:numId="13">
    <w:abstractNumId w:val="17"/>
  </w:num>
  <w:num w:numId="14">
    <w:abstractNumId w:val="16"/>
  </w:num>
  <w:num w:numId="15">
    <w:abstractNumId w:val="2"/>
  </w:num>
  <w:num w:numId="16">
    <w:abstractNumId w:val="1"/>
  </w:num>
  <w:num w:numId="17">
    <w:abstractNumId w:val="24"/>
  </w:num>
  <w:num w:numId="18">
    <w:abstractNumId w:val="25"/>
  </w:num>
  <w:num w:numId="19">
    <w:abstractNumId w:val="8"/>
  </w:num>
  <w:num w:numId="20">
    <w:abstractNumId w:val="3"/>
  </w:num>
  <w:num w:numId="21">
    <w:abstractNumId w:val="7"/>
  </w:num>
  <w:num w:numId="22">
    <w:abstractNumId w:val="5"/>
  </w:num>
  <w:num w:numId="23">
    <w:abstractNumId w:val="13"/>
  </w:num>
  <w:num w:numId="24">
    <w:abstractNumId w:val="11"/>
  </w:num>
  <w:num w:numId="25">
    <w:abstractNumId w:val="21"/>
  </w:num>
  <w:num w:numId="26">
    <w:abstractNumId w:val="18"/>
  </w:num>
  <w:num w:numId="27">
    <w:abstractNumId w:val="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59"/>
    <w:rsid w:val="00013B98"/>
    <w:rsid w:val="00025AC1"/>
    <w:rsid w:val="00034F7F"/>
    <w:rsid w:val="000351CB"/>
    <w:rsid w:val="00050784"/>
    <w:rsid w:val="000B3789"/>
    <w:rsid w:val="001145FF"/>
    <w:rsid w:val="001200FA"/>
    <w:rsid w:val="001236A5"/>
    <w:rsid w:val="00172266"/>
    <w:rsid w:val="00187A3D"/>
    <w:rsid w:val="001D506F"/>
    <w:rsid w:val="001D572A"/>
    <w:rsid w:val="0022259E"/>
    <w:rsid w:val="00225983"/>
    <w:rsid w:val="002445F7"/>
    <w:rsid w:val="00246774"/>
    <w:rsid w:val="00266BF0"/>
    <w:rsid w:val="0027444B"/>
    <w:rsid w:val="002900F3"/>
    <w:rsid w:val="002979EB"/>
    <w:rsid w:val="002A714E"/>
    <w:rsid w:val="002B0B83"/>
    <w:rsid w:val="002B34E3"/>
    <w:rsid w:val="002C7EE7"/>
    <w:rsid w:val="002E30E8"/>
    <w:rsid w:val="0031794C"/>
    <w:rsid w:val="0033266A"/>
    <w:rsid w:val="00333BC8"/>
    <w:rsid w:val="00335B9F"/>
    <w:rsid w:val="00390F2F"/>
    <w:rsid w:val="003914BF"/>
    <w:rsid w:val="003940E9"/>
    <w:rsid w:val="0039432D"/>
    <w:rsid w:val="003A5B26"/>
    <w:rsid w:val="0040062E"/>
    <w:rsid w:val="0042544C"/>
    <w:rsid w:val="00436279"/>
    <w:rsid w:val="0043783F"/>
    <w:rsid w:val="0044041E"/>
    <w:rsid w:val="0045450E"/>
    <w:rsid w:val="00482E18"/>
    <w:rsid w:val="004868D4"/>
    <w:rsid w:val="00493059"/>
    <w:rsid w:val="00506B64"/>
    <w:rsid w:val="00555CB6"/>
    <w:rsid w:val="005801D1"/>
    <w:rsid w:val="005A152F"/>
    <w:rsid w:val="005B064A"/>
    <w:rsid w:val="005D10AB"/>
    <w:rsid w:val="005D1B40"/>
    <w:rsid w:val="005D37AA"/>
    <w:rsid w:val="005D4C58"/>
    <w:rsid w:val="006020B6"/>
    <w:rsid w:val="00607375"/>
    <w:rsid w:val="00690325"/>
    <w:rsid w:val="00691D8B"/>
    <w:rsid w:val="00692584"/>
    <w:rsid w:val="00696667"/>
    <w:rsid w:val="006C66DB"/>
    <w:rsid w:val="006F4F1E"/>
    <w:rsid w:val="007070C9"/>
    <w:rsid w:val="00720C92"/>
    <w:rsid w:val="007252E6"/>
    <w:rsid w:val="007452E6"/>
    <w:rsid w:val="007477D0"/>
    <w:rsid w:val="007607DE"/>
    <w:rsid w:val="007C1AD4"/>
    <w:rsid w:val="007C4882"/>
    <w:rsid w:val="007D126E"/>
    <w:rsid w:val="007D61BC"/>
    <w:rsid w:val="00822C11"/>
    <w:rsid w:val="00853E37"/>
    <w:rsid w:val="00860160"/>
    <w:rsid w:val="00873152"/>
    <w:rsid w:val="008769E6"/>
    <w:rsid w:val="00880E2B"/>
    <w:rsid w:val="00893CC2"/>
    <w:rsid w:val="008A6CB5"/>
    <w:rsid w:val="008B3578"/>
    <w:rsid w:val="008E0882"/>
    <w:rsid w:val="008E44E3"/>
    <w:rsid w:val="009028A8"/>
    <w:rsid w:val="00917DFA"/>
    <w:rsid w:val="0093313B"/>
    <w:rsid w:val="00937BE7"/>
    <w:rsid w:val="009540A8"/>
    <w:rsid w:val="009B0DDB"/>
    <w:rsid w:val="009B5F34"/>
    <w:rsid w:val="00A25B8B"/>
    <w:rsid w:val="00A427E6"/>
    <w:rsid w:val="00A446F9"/>
    <w:rsid w:val="00A65A9B"/>
    <w:rsid w:val="00A71258"/>
    <w:rsid w:val="00A8048F"/>
    <w:rsid w:val="00AB40EC"/>
    <w:rsid w:val="00AC0DA2"/>
    <w:rsid w:val="00AC39CC"/>
    <w:rsid w:val="00AE0256"/>
    <w:rsid w:val="00AF174C"/>
    <w:rsid w:val="00B01A78"/>
    <w:rsid w:val="00B43BAF"/>
    <w:rsid w:val="00B62AB3"/>
    <w:rsid w:val="00B6693F"/>
    <w:rsid w:val="00B72E26"/>
    <w:rsid w:val="00B72EBF"/>
    <w:rsid w:val="00B7414F"/>
    <w:rsid w:val="00BA5551"/>
    <w:rsid w:val="00BB03C2"/>
    <w:rsid w:val="00BD2C93"/>
    <w:rsid w:val="00C0557E"/>
    <w:rsid w:val="00C0761A"/>
    <w:rsid w:val="00C251E8"/>
    <w:rsid w:val="00C5180E"/>
    <w:rsid w:val="00C544A1"/>
    <w:rsid w:val="00C64A08"/>
    <w:rsid w:val="00C72FB3"/>
    <w:rsid w:val="00C94B6D"/>
    <w:rsid w:val="00C974A4"/>
    <w:rsid w:val="00CA1DA6"/>
    <w:rsid w:val="00CD6251"/>
    <w:rsid w:val="00CF53AE"/>
    <w:rsid w:val="00CF5FD4"/>
    <w:rsid w:val="00D14761"/>
    <w:rsid w:val="00D172F9"/>
    <w:rsid w:val="00D20AFD"/>
    <w:rsid w:val="00D30203"/>
    <w:rsid w:val="00D314F6"/>
    <w:rsid w:val="00D46930"/>
    <w:rsid w:val="00D50397"/>
    <w:rsid w:val="00D53863"/>
    <w:rsid w:val="00D8397E"/>
    <w:rsid w:val="00D946B9"/>
    <w:rsid w:val="00DA6FD9"/>
    <w:rsid w:val="00DB308A"/>
    <w:rsid w:val="00DE4B9E"/>
    <w:rsid w:val="00E01837"/>
    <w:rsid w:val="00E2787B"/>
    <w:rsid w:val="00E776D4"/>
    <w:rsid w:val="00EA0C21"/>
    <w:rsid w:val="00EA2A31"/>
    <w:rsid w:val="00F13D5B"/>
    <w:rsid w:val="00F2711C"/>
    <w:rsid w:val="00F616C8"/>
    <w:rsid w:val="00F95954"/>
    <w:rsid w:val="00F963A6"/>
    <w:rsid w:val="00FC03C4"/>
    <w:rsid w:val="00FE5C4D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72D5"/>
  <w15:docId w15:val="{47E42C9D-6EA5-4877-A0BB-A08676F4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33BC8"/>
    <w:pPr>
      <w:keepNext/>
      <w:spacing w:before="240" w:after="60"/>
      <w:outlineLvl w:val="0"/>
    </w:pPr>
    <w:rPr>
      <w:rFonts w:ascii="Arial" w:eastAsiaTheme="minorHAnsi" w:hAnsi="Arial" w:cs="Arial"/>
      <w:b/>
      <w:bCs/>
      <w:kern w:val="36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917DF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17D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17D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17DF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917D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7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17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BE7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uiPriority w:val="99"/>
    <w:semiHidden/>
    <w:unhideWhenUsed/>
    <w:rsid w:val="00AE0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256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256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256"/>
    <w:pPr>
      <w:spacing w:after="0" w:line="240" w:lineRule="auto"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25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013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33BC8"/>
    <w:rPr>
      <w:rFonts w:ascii="Arial" w:hAnsi="Arial" w:cs="Arial"/>
      <w:b/>
      <w:bCs/>
      <w:kern w:val="36"/>
      <w:sz w:val="32"/>
      <w:szCs w:val="32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E44E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E44E3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1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332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2952-7612-4DD1-BC9F-5C29538A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Kačincová</dc:creator>
  <cp:lastModifiedBy>Mária Kačincová</cp:lastModifiedBy>
  <cp:revision>14</cp:revision>
  <cp:lastPrinted>2019-04-04T08:02:00Z</cp:lastPrinted>
  <dcterms:created xsi:type="dcterms:W3CDTF">2020-05-05T13:32:00Z</dcterms:created>
  <dcterms:modified xsi:type="dcterms:W3CDTF">2020-08-18T12:05:00Z</dcterms:modified>
</cp:coreProperties>
</file>