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9E" w:rsidRDefault="002622DB" w:rsidP="0045441F">
      <w:pPr>
        <w:pStyle w:val="Default"/>
        <w:jc w:val="center"/>
        <w:rPr>
          <w:rFonts w:ascii="Arial Narrow" w:hAnsi="Arial Narrow"/>
          <w:b/>
        </w:rPr>
      </w:pPr>
      <w:r w:rsidRPr="00414C25">
        <w:rPr>
          <w:rFonts w:ascii="Arial Narrow" w:hAnsi="Arial Narrow"/>
          <w:b/>
        </w:rPr>
        <w:tab/>
      </w:r>
      <w:r w:rsidRPr="00414C25">
        <w:rPr>
          <w:rFonts w:ascii="Arial Narrow" w:hAnsi="Arial Narrow"/>
          <w:b/>
        </w:rPr>
        <w:tab/>
      </w:r>
      <w:r w:rsidRPr="00414C25">
        <w:rPr>
          <w:rFonts w:ascii="Arial Narrow" w:hAnsi="Arial Narrow"/>
          <w:b/>
        </w:rPr>
        <w:tab/>
      </w:r>
      <w:r w:rsidRPr="00414C25">
        <w:rPr>
          <w:rFonts w:ascii="Arial Narrow" w:hAnsi="Arial Narrow"/>
          <w:b/>
        </w:rPr>
        <w:tab/>
      </w:r>
      <w:r w:rsidRPr="00414C25">
        <w:rPr>
          <w:rFonts w:ascii="Arial Narrow" w:hAnsi="Arial Narrow"/>
          <w:b/>
        </w:rPr>
        <w:tab/>
      </w:r>
      <w:r w:rsidRPr="00414C25">
        <w:rPr>
          <w:rFonts w:ascii="Arial Narrow" w:hAnsi="Arial Narrow"/>
          <w:b/>
        </w:rPr>
        <w:tab/>
      </w:r>
      <w:r w:rsidRPr="00414C25">
        <w:rPr>
          <w:rFonts w:ascii="Arial Narrow" w:hAnsi="Arial Narrow"/>
          <w:b/>
        </w:rPr>
        <w:tab/>
      </w:r>
      <w:r w:rsidRPr="00414C25">
        <w:rPr>
          <w:rFonts w:ascii="Arial Narrow" w:hAnsi="Arial Narrow"/>
          <w:b/>
        </w:rPr>
        <w:tab/>
      </w:r>
      <w:r w:rsidRPr="00414C25">
        <w:rPr>
          <w:rFonts w:ascii="Arial Narrow" w:hAnsi="Arial Narrow"/>
          <w:b/>
        </w:rPr>
        <w:tab/>
      </w:r>
      <w:r w:rsidR="003C3D60" w:rsidRPr="00414C25">
        <w:rPr>
          <w:rFonts w:ascii="Arial Narrow" w:hAnsi="Arial Narrow"/>
          <w:b/>
        </w:rPr>
        <w:tab/>
      </w:r>
      <w:r w:rsidR="003C3D60" w:rsidRPr="00414C25">
        <w:rPr>
          <w:rFonts w:ascii="Arial Narrow" w:hAnsi="Arial Narrow"/>
        </w:rPr>
        <w:t>Príloha č. 1</w:t>
      </w:r>
    </w:p>
    <w:p w:rsidR="003620FC" w:rsidRDefault="00107A9E" w:rsidP="00107A9E">
      <w:pPr>
        <w:pStyle w:val="Default"/>
        <w:rPr>
          <w:rFonts w:ascii="Arial Narrow" w:eastAsia="Arial Narrow" w:hAnsi="Arial Narrow"/>
          <w:b/>
        </w:rPr>
      </w:pPr>
      <w:r w:rsidRPr="00107A9E">
        <w:rPr>
          <w:rFonts w:ascii="Arial Narrow" w:eastAsia="Arial Narrow" w:hAnsi="Arial Narrow"/>
          <w:b/>
        </w:rPr>
        <w:t>Opis predmetu zákazky/ Vlastný návrh plnenia</w:t>
      </w:r>
    </w:p>
    <w:p w:rsidR="00107A9E" w:rsidRPr="00107A9E" w:rsidRDefault="00107A9E" w:rsidP="00107A9E">
      <w:pPr>
        <w:pStyle w:val="Default"/>
        <w:rPr>
          <w:rFonts w:ascii="Arial Narrow" w:hAnsi="Arial Narrow"/>
          <w:b/>
        </w:rPr>
      </w:pPr>
      <w:bookmarkStart w:id="0" w:name="_GoBack"/>
      <w:bookmarkEnd w:id="0"/>
    </w:p>
    <w:p w:rsidR="003620FC" w:rsidRPr="00414C25" w:rsidRDefault="00F77005" w:rsidP="00537EAB">
      <w:pPr>
        <w:pStyle w:val="Bezriadkovania"/>
        <w:jc w:val="both"/>
        <w:rPr>
          <w:rFonts w:ascii="Arial Narrow" w:hAnsi="Arial Narrow" w:cs="Helvetica"/>
          <w:color w:val="FFFFFF"/>
          <w:sz w:val="24"/>
          <w:szCs w:val="24"/>
          <w:shd w:val="clear" w:color="auto" w:fill="303240"/>
        </w:rPr>
      </w:pPr>
      <w:r w:rsidRPr="00537EAB">
        <w:rPr>
          <w:rFonts w:ascii="Arial Narrow" w:hAnsi="Arial Narrow" w:cs="Arial"/>
          <w:b/>
          <w:color w:val="000000"/>
          <w:sz w:val="24"/>
          <w:szCs w:val="24"/>
          <w:lang w:bidi="ar-SA"/>
        </w:rPr>
        <w:t>Názov predmetu zákazky</w:t>
      </w:r>
      <w:r w:rsidRPr="00414C25">
        <w:rPr>
          <w:rFonts w:ascii="Arial Narrow" w:hAnsi="Arial Narrow" w:cs="Arial"/>
          <w:color w:val="000000"/>
          <w:sz w:val="24"/>
          <w:szCs w:val="24"/>
          <w:lang w:bidi="ar-SA"/>
        </w:rPr>
        <w:t xml:space="preserve">: </w:t>
      </w:r>
      <w:r w:rsidR="007876AA" w:rsidRPr="00414C25">
        <w:rPr>
          <w:rFonts w:ascii="Arial Narrow" w:hAnsi="Arial Narrow" w:cs="Arial"/>
          <w:color w:val="000000"/>
          <w:sz w:val="24"/>
          <w:szCs w:val="24"/>
          <w:lang w:bidi="ar-SA"/>
        </w:rPr>
        <w:t>Pracovné pulty</w:t>
      </w:r>
      <w:r w:rsidR="005B31AF">
        <w:rPr>
          <w:rFonts w:ascii="Arial Narrow" w:hAnsi="Arial Narrow" w:cs="Arial"/>
          <w:color w:val="000000"/>
          <w:sz w:val="24"/>
          <w:szCs w:val="24"/>
          <w:lang w:bidi="ar-SA"/>
        </w:rPr>
        <w:t>_</w:t>
      </w:r>
      <w:r w:rsidR="00D940FE">
        <w:rPr>
          <w:rFonts w:ascii="Arial Narrow" w:hAnsi="Arial Narrow" w:cs="Arial"/>
          <w:color w:val="000000"/>
          <w:sz w:val="24"/>
          <w:szCs w:val="24"/>
          <w:lang w:bidi="ar-SA"/>
        </w:rPr>
        <w:t>2021</w:t>
      </w:r>
      <w:r w:rsidR="000A59EC" w:rsidRPr="00414C25">
        <w:rPr>
          <w:rFonts w:ascii="Arial Narrow" w:hAnsi="Arial Narrow" w:cs="Arial"/>
          <w:color w:val="000000"/>
          <w:sz w:val="24"/>
          <w:szCs w:val="24"/>
          <w:lang w:bidi="ar-SA"/>
        </w:rPr>
        <w:t>(</w:t>
      </w:r>
      <w:r w:rsidR="00516E65" w:rsidRPr="00516E65">
        <w:rPr>
          <w:rFonts w:ascii="Arial Narrow" w:hAnsi="Arial Narrow" w:cs="Arial"/>
          <w:color w:val="000000"/>
          <w:sz w:val="24"/>
          <w:szCs w:val="24"/>
          <w:lang w:bidi="ar-SA"/>
        </w:rPr>
        <w:t>VKDNS2021499</w:t>
      </w:r>
      <w:r w:rsidR="007876AA" w:rsidRPr="00414C25">
        <w:rPr>
          <w:rFonts w:ascii="Arial Narrow" w:hAnsi="Arial Narrow" w:cs="Arial"/>
          <w:color w:val="000000"/>
          <w:sz w:val="24"/>
          <w:szCs w:val="24"/>
          <w:lang w:bidi="ar-SA"/>
        </w:rPr>
        <w:t>)</w:t>
      </w:r>
    </w:p>
    <w:p w:rsidR="0045441F" w:rsidRPr="00414C25" w:rsidRDefault="0045441F" w:rsidP="00537EAB">
      <w:pPr>
        <w:pStyle w:val="Default"/>
        <w:jc w:val="both"/>
        <w:rPr>
          <w:rFonts w:ascii="Arial Narrow" w:hAnsi="Arial Narrow"/>
        </w:rPr>
      </w:pPr>
    </w:p>
    <w:p w:rsidR="008D37E6" w:rsidRPr="00414C25" w:rsidRDefault="0045441F" w:rsidP="00537EAB">
      <w:pPr>
        <w:pStyle w:val="Default"/>
        <w:jc w:val="both"/>
        <w:rPr>
          <w:rFonts w:ascii="Arial Narrow" w:hAnsi="Arial Narrow"/>
        </w:rPr>
      </w:pPr>
      <w:r w:rsidRPr="00414C25">
        <w:rPr>
          <w:rFonts w:ascii="Arial Narrow" w:hAnsi="Arial Narrow"/>
        </w:rPr>
        <w:t xml:space="preserve">Predmetom </w:t>
      </w:r>
      <w:r w:rsidR="00F77005" w:rsidRPr="00414C25">
        <w:rPr>
          <w:rFonts w:ascii="Arial Narrow" w:hAnsi="Arial Narrow"/>
        </w:rPr>
        <w:t>zákaz</w:t>
      </w:r>
      <w:r w:rsidR="00DC3794" w:rsidRPr="00414C25">
        <w:rPr>
          <w:rFonts w:ascii="Arial Narrow" w:hAnsi="Arial Narrow"/>
        </w:rPr>
        <w:t>k</w:t>
      </w:r>
      <w:r w:rsidR="00F77005" w:rsidRPr="00414C25">
        <w:rPr>
          <w:rFonts w:ascii="Arial Narrow" w:hAnsi="Arial Narrow"/>
        </w:rPr>
        <w:t>y</w:t>
      </w:r>
      <w:r w:rsidR="00BC7BC6">
        <w:rPr>
          <w:rFonts w:ascii="Arial Narrow" w:hAnsi="Arial Narrow"/>
        </w:rPr>
        <w:t xml:space="preserve"> </w:t>
      </w:r>
      <w:r w:rsidR="00F77005" w:rsidRPr="00414C25">
        <w:rPr>
          <w:rFonts w:ascii="Arial Narrow" w:hAnsi="Arial Narrow"/>
        </w:rPr>
        <w:t>je</w:t>
      </w:r>
      <w:r w:rsidR="00BC7BC6">
        <w:rPr>
          <w:rFonts w:ascii="Arial Narrow" w:hAnsi="Arial Narrow"/>
        </w:rPr>
        <w:t xml:space="preserve"> </w:t>
      </w:r>
      <w:r w:rsidR="00DD74F3" w:rsidRPr="00414C25">
        <w:rPr>
          <w:rFonts w:ascii="Arial Narrow" w:hAnsi="Arial Narrow"/>
        </w:rPr>
        <w:t xml:space="preserve">dodávka </w:t>
      </w:r>
      <w:r w:rsidR="007876AA" w:rsidRPr="00414C25">
        <w:rPr>
          <w:rFonts w:ascii="Arial Narrow" w:hAnsi="Arial Narrow"/>
        </w:rPr>
        <w:t>pracovných pultov</w:t>
      </w:r>
      <w:r w:rsidR="007C5284" w:rsidRPr="00414C25">
        <w:rPr>
          <w:rFonts w:ascii="Arial Narrow" w:hAnsi="Arial Narrow"/>
        </w:rPr>
        <w:t xml:space="preserve">, </w:t>
      </w:r>
      <w:r w:rsidR="0015544B" w:rsidRPr="00414C25">
        <w:rPr>
          <w:rFonts w:ascii="Arial Narrow" w:hAnsi="Arial Narrow"/>
        </w:rPr>
        <w:t>vrátane služieb spojených s ich dodávkou pre verejného obstarávateľa Ministers</w:t>
      </w:r>
      <w:r w:rsidR="00F77005" w:rsidRPr="00414C25">
        <w:rPr>
          <w:rFonts w:ascii="Arial Narrow" w:hAnsi="Arial Narrow"/>
        </w:rPr>
        <w:t>tvo vnútra Slovenskej republiky.</w:t>
      </w:r>
    </w:p>
    <w:p w:rsidR="00F77005" w:rsidRPr="00414C25" w:rsidRDefault="00F77005" w:rsidP="00F77005">
      <w:pPr>
        <w:pStyle w:val="Default"/>
        <w:ind w:left="426"/>
        <w:jc w:val="both"/>
        <w:rPr>
          <w:rFonts w:ascii="Arial Narrow" w:hAnsi="Arial Narrow"/>
        </w:rPr>
      </w:pPr>
    </w:p>
    <w:p w:rsidR="00F77005" w:rsidRPr="00414C25" w:rsidRDefault="00F77005" w:rsidP="00F77005">
      <w:pPr>
        <w:pStyle w:val="Odsekzoznamu"/>
        <w:ind w:left="0"/>
        <w:contextualSpacing/>
        <w:rPr>
          <w:rFonts w:ascii="Arial Narrow" w:hAnsi="Arial Narrow"/>
          <w:b/>
          <w:sz w:val="24"/>
        </w:rPr>
      </w:pPr>
      <w:r w:rsidRPr="00414C25">
        <w:rPr>
          <w:rFonts w:ascii="Arial Narrow" w:hAnsi="Arial Narrow"/>
          <w:b/>
          <w:sz w:val="24"/>
        </w:rPr>
        <w:t>Hlavný kód CPV:</w:t>
      </w:r>
    </w:p>
    <w:p w:rsidR="00F77005" w:rsidRPr="00414C25" w:rsidRDefault="00F77005" w:rsidP="00F77005">
      <w:pPr>
        <w:pStyle w:val="Odsekzoznamu"/>
        <w:ind w:left="0"/>
        <w:contextualSpacing/>
        <w:rPr>
          <w:rFonts w:ascii="Arial Narrow" w:hAnsi="Arial Narrow"/>
          <w:b/>
          <w:sz w:val="24"/>
        </w:rPr>
      </w:pPr>
    </w:p>
    <w:p w:rsidR="00F77005" w:rsidRDefault="007876AA" w:rsidP="007876AA">
      <w:pPr>
        <w:pStyle w:val="Default"/>
        <w:jc w:val="both"/>
        <w:rPr>
          <w:rFonts w:ascii="Arial Narrow" w:hAnsi="Arial Narrow"/>
        </w:rPr>
      </w:pPr>
      <w:r w:rsidRPr="00414C25">
        <w:rPr>
          <w:rFonts w:ascii="Arial Narrow" w:hAnsi="Arial Narrow"/>
        </w:rPr>
        <w:t>39100000-3 Nábytok</w:t>
      </w:r>
    </w:p>
    <w:p w:rsidR="00537EAB" w:rsidRDefault="00537EAB" w:rsidP="00537EAB">
      <w:pPr>
        <w:pStyle w:val="Odsekzoznamu"/>
        <w:spacing w:line="276" w:lineRule="auto"/>
        <w:ind w:left="0"/>
        <w:contextualSpacing/>
        <w:rPr>
          <w:rFonts w:ascii="Arial Narrow" w:hAnsi="Arial Narrow"/>
          <w:b/>
          <w:sz w:val="22"/>
          <w:szCs w:val="22"/>
        </w:rPr>
      </w:pPr>
    </w:p>
    <w:p w:rsidR="00537EAB" w:rsidRPr="00537EAB" w:rsidRDefault="00537EAB" w:rsidP="00537EAB">
      <w:pPr>
        <w:pStyle w:val="Odsekzoznamu"/>
        <w:spacing w:line="276" w:lineRule="auto"/>
        <w:ind w:left="0"/>
        <w:contextualSpacing/>
        <w:rPr>
          <w:rFonts w:ascii="Arial Narrow" w:hAnsi="Arial Narrow"/>
          <w:sz w:val="22"/>
          <w:szCs w:val="22"/>
        </w:rPr>
      </w:pPr>
      <w:r w:rsidRPr="00645D7C">
        <w:rPr>
          <w:rFonts w:ascii="Arial Narrow" w:hAnsi="Arial Narrow"/>
          <w:b/>
          <w:sz w:val="22"/>
          <w:szCs w:val="22"/>
        </w:rPr>
        <w:t>S tovarom sa požaduje  zabezpečiť aj tieto súvisiace služby:</w:t>
      </w:r>
    </w:p>
    <w:p w:rsidR="00537EAB" w:rsidRPr="00537EAB" w:rsidRDefault="00537EAB" w:rsidP="00537EAB">
      <w:pPr>
        <w:pStyle w:val="Default"/>
        <w:numPr>
          <w:ilvl w:val="0"/>
          <w:numId w:val="12"/>
        </w:numPr>
        <w:spacing w:after="12"/>
        <w:rPr>
          <w:rFonts w:ascii="Arial Narrow" w:hAnsi="Arial Narrow"/>
        </w:rPr>
      </w:pPr>
      <w:r w:rsidRPr="00537EAB">
        <w:rPr>
          <w:rFonts w:ascii="Arial Narrow" w:hAnsi="Arial Narrow"/>
        </w:rPr>
        <w:t xml:space="preserve">dodanie tovaru do miesta dodania, </w:t>
      </w:r>
    </w:p>
    <w:p w:rsidR="00537EAB" w:rsidRPr="00537EAB" w:rsidRDefault="00537EAB" w:rsidP="00537EAB">
      <w:pPr>
        <w:pStyle w:val="Default"/>
        <w:numPr>
          <w:ilvl w:val="0"/>
          <w:numId w:val="12"/>
        </w:numPr>
        <w:spacing w:after="12"/>
        <w:rPr>
          <w:rFonts w:ascii="Arial Narrow" w:hAnsi="Arial Narrow"/>
        </w:rPr>
      </w:pPr>
      <w:r w:rsidRPr="00537EAB">
        <w:rPr>
          <w:rFonts w:ascii="Arial Narrow" w:hAnsi="Arial Narrow"/>
        </w:rPr>
        <w:t>vylož</w:t>
      </w:r>
      <w:r>
        <w:rPr>
          <w:rFonts w:ascii="Arial Narrow" w:hAnsi="Arial Narrow"/>
        </w:rPr>
        <w:t>enie tovaru v mieste dodania,</w:t>
      </w:r>
    </w:p>
    <w:p w:rsidR="00537EAB" w:rsidRPr="00C42719" w:rsidRDefault="00537EAB" w:rsidP="00537EAB">
      <w:pPr>
        <w:pStyle w:val="Default"/>
        <w:numPr>
          <w:ilvl w:val="0"/>
          <w:numId w:val="12"/>
        </w:numPr>
        <w:rPr>
          <w:rFonts w:ascii="Arial Narrow" w:hAnsi="Arial Narrow"/>
        </w:rPr>
      </w:pPr>
      <w:r w:rsidRPr="00C42719">
        <w:rPr>
          <w:rFonts w:ascii="Arial Narrow" w:hAnsi="Arial Narrow"/>
        </w:rPr>
        <w:t>vrátane montáže v mieste dodania.</w:t>
      </w:r>
    </w:p>
    <w:p w:rsidR="00537EAB" w:rsidRDefault="00537EAB" w:rsidP="00537EAB">
      <w:pPr>
        <w:pStyle w:val="Default"/>
        <w:ind w:left="720"/>
      </w:pPr>
    </w:p>
    <w:p w:rsidR="00537EAB" w:rsidRPr="00537EAB" w:rsidRDefault="00537EAB" w:rsidP="00537EAB">
      <w:pPr>
        <w:pStyle w:val="Default"/>
        <w:jc w:val="both"/>
        <w:rPr>
          <w:rFonts w:ascii="Arial Narrow" w:hAnsi="Arial Narrow"/>
        </w:rPr>
      </w:pPr>
      <w:r w:rsidRPr="00537EAB">
        <w:rPr>
          <w:rFonts w:ascii="Arial Narrow" w:hAnsi="Arial Narrow"/>
        </w:rPr>
        <w:t xml:space="preserve">Verejný obstarávateľ si vyhradzuje právo prevziať iba tovar funkčný, bez zjavných vád, dodaný v kompletnom stave a v požadovanom množstve. V opačnom prípade si vyhradzuje právo nepodpísať dodací list, neprebrať dodaný tovar a nezaplatiť cenu za neprebraný tovar. </w:t>
      </w:r>
    </w:p>
    <w:p w:rsidR="00537EAB" w:rsidRPr="00537EAB" w:rsidRDefault="00537EAB" w:rsidP="00537EAB">
      <w:pPr>
        <w:pStyle w:val="Default"/>
        <w:jc w:val="both"/>
        <w:rPr>
          <w:rFonts w:ascii="Arial Narrow" w:hAnsi="Arial Narrow"/>
        </w:rPr>
      </w:pPr>
    </w:p>
    <w:p w:rsidR="00537EAB" w:rsidRPr="00537EAB" w:rsidRDefault="00537EAB" w:rsidP="00537EAB">
      <w:pPr>
        <w:pStyle w:val="Default"/>
        <w:jc w:val="both"/>
        <w:rPr>
          <w:rFonts w:ascii="Arial Narrow" w:hAnsi="Arial Narrow"/>
        </w:rPr>
      </w:pPr>
      <w:r w:rsidRPr="00537EAB">
        <w:rPr>
          <w:rFonts w:ascii="Arial Narrow" w:hAnsi="Arial Narrow"/>
        </w:rPr>
        <w:t xml:space="preserve">Tovar musí byť nový, nepoužívaný, zabalený v neporušených obaloch, nepoškodený. </w:t>
      </w:r>
    </w:p>
    <w:p w:rsidR="00537EAB" w:rsidRPr="00537EAB" w:rsidRDefault="00537EAB" w:rsidP="00537EAB">
      <w:pPr>
        <w:pStyle w:val="Default"/>
        <w:jc w:val="both"/>
        <w:rPr>
          <w:rFonts w:ascii="Arial Narrow" w:hAnsi="Arial Narrow"/>
        </w:rPr>
      </w:pPr>
    </w:p>
    <w:p w:rsidR="00537EAB" w:rsidRPr="00537EAB" w:rsidRDefault="00537EAB" w:rsidP="00537EAB">
      <w:pPr>
        <w:pStyle w:val="Default"/>
        <w:jc w:val="both"/>
        <w:rPr>
          <w:rFonts w:ascii="Arial Narrow" w:hAnsi="Arial Narrow"/>
        </w:rPr>
      </w:pPr>
      <w:r w:rsidRPr="00537EAB">
        <w:rPr>
          <w:rFonts w:ascii="Arial Narrow" w:hAnsi="Arial Narrow"/>
        </w:rPr>
        <w:t xml:space="preserve">Verejný obstarávateľ požaduje na dodaný tovar minimálne 24 mesačnú záručnú dobu s tým, že v konkrétnej zákazke môže byť uvedená aj dlhšia záručná doba. Pri uplatnení reklamácie je dodávateľ povinný predmet zákazky prevziať v sídle objednávateľa na vlastné náklady. </w:t>
      </w:r>
    </w:p>
    <w:p w:rsidR="00F77005" w:rsidRPr="00414C25" w:rsidRDefault="00F77005" w:rsidP="00537EAB">
      <w:pPr>
        <w:pStyle w:val="Default"/>
        <w:jc w:val="both"/>
        <w:rPr>
          <w:rFonts w:ascii="Arial Narrow" w:hAnsi="Arial Narrow"/>
        </w:rPr>
      </w:pPr>
    </w:p>
    <w:p w:rsidR="00F77005" w:rsidRPr="00414C25" w:rsidRDefault="00F77005" w:rsidP="00F77005">
      <w:p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  <w:sz w:val="24"/>
        </w:rPr>
      </w:pPr>
      <w:r w:rsidRPr="00414C25">
        <w:rPr>
          <w:rFonts w:ascii="Arial Narrow" w:hAnsi="Arial Narrow"/>
          <w:b/>
          <w:sz w:val="24"/>
        </w:rPr>
        <w:t>Lehota plnenia je:</w:t>
      </w:r>
    </w:p>
    <w:p w:rsidR="00F77005" w:rsidRPr="00414C25" w:rsidRDefault="00516E65" w:rsidP="00DF677B">
      <w:pPr>
        <w:pStyle w:val="Odsekzoznamu"/>
        <w:numPr>
          <w:ilvl w:val="0"/>
          <w:numId w:val="1"/>
        </w:num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 3</w:t>
      </w:r>
      <w:r w:rsidR="00B51D3D">
        <w:rPr>
          <w:rFonts w:ascii="Arial Narrow" w:hAnsi="Arial Narrow"/>
          <w:sz w:val="24"/>
        </w:rPr>
        <w:t xml:space="preserve"> mesiacov od nadobudnutia účinnosti Zmluvy</w:t>
      </w:r>
    </w:p>
    <w:p w:rsidR="00F77005" w:rsidRPr="00414C25" w:rsidRDefault="00F77005" w:rsidP="00F77005">
      <w:pPr>
        <w:pStyle w:val="Odsekzoznamu"/>
        <w:rPr>
          <w:rFonts w:ascii="Arial Narrow" w:hAnsi="Arial Narrow"/>
          <w:b/>
          <w:color w:val="000000"/>
          <w:sz w:val="24"/>
        </w:rPr>
      </w:pPr>
    </w:p>
    <w:p w:rsidR="000A59EC" w:rsidRPr="00414C25" w:rsidRDefault="007E25B6" w:rsidP="000A59EC">
      <w:pPr>
        <w:pStyle w:val="Odsekzoznamu"/>
        <w:ind w:left="0"/>
        <w:contextualSpacing/>
        <w:rPr>
          <w:rFonts w:ascii="Arial Narrow" w:hAnsi="Arial Narrow"/>
          <w:b/>
          <w:color w:val="000000"/>
          <w:sz w:val="24"/>
        </w:rPr>
      </w:pPr>
      <w:r w:rsidRPr="00414C25">
        <w:rPr>
          <w:rFonts w:ascii="Arial Narrow" w:hAnsi="Arial Narrow"/>
          <w:b/>
          <w:color w:val="000000"/>
          <w:sz w:val="24"/>
        </w:rPr>
        <w:t>Miest</w:t>
      </w:r>
      <w:r w:rsidR="00516E65">
        <w:rPr>
          <w:rFonts w:ascii="Arial Narrow" w:hAnsi="Arial Narrow"/>
          <w:b/>
          <w:color w:val="000000"/>
          <w:sz w:val="24"/>
        </w:rPr>
        <w:t>o</w:t>
      </w:r>
      <w:r w:rsidR="00BE5ADC" w:rsidRPr="00414C25">
        <w:rPr>
          <w:rFonts w:ascii="Arial Narrow" w:hAnsi="Arial Narrow"/>
          <w:b/>
          <w:color w:val="000000"/>
          <w:sz w:val="24"/>
        </w:rPr>
        <w:t xml:space="preserve"> dodania </w:t>
      </w:r>
      <w:r w:rsidR="00516E65">
        <w:rPr>
          <w:rFonts w:ascii="Arial Narrow" w:hAnsi="Arial Narrow"/>
          <w:b/>
          <w:color w:val="000000"/>
          <w:sz w:val="24"/>
        </w:rPr>
        <w:t>je</w:t>
      </w:r>
      <w:r w:rsidR="00F77005" w:rsidRPr="00414C25">
        <w:rPr>
          <w:rFonts w:ascii="Arial Narrow" w:hAnsi="Arial Narrow"/>
          <w:b/>
          <w:color w:val="000000"/>
          <w:sz w:val="24"/>
        </w:rPr>
        <w:t>:</w:t>
      </w:r>
    </w:p>
    <w:p w:rsidR="005D15E1" w:rsidRDefault="005D15E1" w:rsidP="005D15E1">
      <w:pPr>
        <w:rPr>
          <w:rFonts w:ascii="Arial Narrow" w:hAnsi="Arial Narrow" w:cs="Arial"/>
          <w:color w:val="000000"/>
          <w:sz w:val="24"/>
          <w:lang w:eastAsia="en-US"/>
        </w:rPr>
      </w:pPr>
    </w:p>
    <w:p w:rsidR="00D16CBE" w:rsidRPr="00516E65" w:rsidRDefault="00EB0131" w:rsidP="00516E65">
      <w:pPr>
        <w:pStyle w:val="Odsekzoznamu"/>
        <w:numPr>
          <w:ilvl w:val="0"/>
          <w:numId w:val="18"/>
        </w:numPr>
        <w:rPr>
          <w:rFonts w:ascii="Arial Narrow" w:hAnsi="Arial Narrow" w:cs="Arial"/>
          <w:color w:val="000000"/>
          <w:sz w:val="24"/>
          <w:lang w:eastAsia="en-US"/>
        </w:rPr>
      </w:pPr>
      <w:r>
        <w:rPr>
          <w:rFonts w:ascii="Arial Narrow" w:hAnsi="Arial Narrow" w:cs="Arial"/>
          <w:color w:val="000000"/>
          <w:sz w:val="24"/>
          <w:lang w:eastAsia="en-US"/>
        </w:rPr>
        <w:t xml:space="preserve">Ministerstvo vnútra, </w:t>
      </w:r>
      <w:r w:rsidR="00516E65" w:rsidRPr="00516E65">
        <w:rPr>
          <w:rFonts w:ascii="Arial Narrow" w:hAnsi="Arial Narrow" w:cs="Arial"/>
          <w:color w:val="000000"/>
          <w:sz w:val="24"/>
          <w:lang w:eastAsia="en-US"/>
        </w:rPr>
        <w:t>Operačný odbor Prezídium policajného zboru, Tomášikova 28, Bratislava</w:t>
      </w:r>
    </w:p>
    <w:p w:rsidR="008E607F" w:rsidRPr="00414C25" w:rsidRDefault="008E607F" w:rsidP="00BE5ADC">
      <w:pPr>
        <w:pStyle w:val="Default"/>
        <w:ind w:left="709" w:hanging="425"/>
        <w:jc w:val="both"/>
        <w:rPr>
          <w:rFonts w:ascii="Arial Narrow" w:hAnsi="Arial Narrow"/>
        </w:rPr>
      </w:pPr>
    </w:p>
    <w:p w:rsidR="00AA7006" w:rsidRDefault="00AA7006" w:rsidP="00AA3509">
      <w:pPr>
        <w:pStyle w:val="Default"/>
        <w:jc w:val="both"/>
        <w:rPr>
          <w:rFonts w:ascii="Arial Narrow" w:hAnsi="Arial Narrow"/>
          <w:b/>
        </w:rPr>
      </w:pPr>
      <w:r w:rsidRPr="00414C25">
        <w:rPr>
          <w:rFonts w:ascii="Arial Narrow" w:hAnsi="Arial Narrow"/>
          <w:b/>
        </w:rPr>
        <w:t>Položky predmetu zákazky:</w:t>
      </w:r>
    </w:p>
    <w:p w:rsidR="00420AA5" w:rsidRDefault="00420AA5" w:rsidP="00420AA5">
      <w:pPr>
        <w:pStyle w:val="Odsekzoznamu"/>
        <w:ind w:left="360"/>
        <w:rPr>
          <w:rFonts w:ascii="Arial Narrow" w:hAnsi="Arial Narrow" w:cs="Arial"/>
          <w:color w:val="000000"/>
          <w:sz w:val="24"/>
        </w:rPr>
      </w:pPr>
    </w:p>
    <w:p w:rsidR="00420AA5" w:rsidRPr="0079433A" w:rsidRDefault="00420AA5" w:rsidP="00420AA5">
      <w:pPr>
        <w:pStyle w:val="Odsekzoznamu"/>
        <w:ind w:left="360"/>
        <w:rPr>
          <w:rFonts w:ascii="Arial Narrow" w:hAnsi="Arial Narrow" w:cs="Arial"/>
          <w:color w:val="000000"/>
          <w:sz w:val="24"/>
        </w:rPr>
      </w:pPr>
      <w:r w:rsidRPr="0079433A">
        <w:rPr>
          <w:rFonts w:ascii="Arial Narrow" w:hAnsi="Arial Narrow" w:cs="Arial"/>
          <w:color w:val="000000"/>
          <w:sz w:val="24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:rsidR="00420AA5" w:rsidRDefault="00420AA5" w:rsidP="00AA3509">
      <w:pPr>
        <w:pStyle w:val="Default"/>
        <w:jc w:val="both"/>
        <w:rPr>
          <w:rFonts w:ascii="Arial Narrow" w:hAnsi="Arial Narrow"/>
          <w:b/>
        </w:rPr>
      </w:pPr>
    </w:p>
    <w:p w:rsidR="00420AA5" w:rsidRDefault="00420AA5" w:rsidP="00AA3509">
      <w:pPr>
        <w:pStyle w:val="Default"/>
        <w:jc w:val="both"/>
        <w:rPr>
          <w:rFonts w:ascii="Arial Narrow" w:hAnsi="Arial Narrow"/>
          <w:b/>
        </w:rPr>
      </w:pPr>
    </w:p>
    <w:p w:rsidR="00420AA5" w:rsidRDefault="00420AA5" w:rsidP="00AA3509">
      <w:pPr>
        <w:pStyle w:val="Default"/>
        <w:jc w:val="both"/>
        <w:rPr>
          <w:rFonts w:ascii="Arial Narrow" w:hAnsi="Arial Narrow"/>
          <w:b/>
        </w:rPr>
      </w:pPr>
    </w:p>
    <w:p w:rsidR="00420AA5" w:rsidRDefault="00420AA5" w:rsidP="00AA3509">
      <w:pPr>
        <w:pStyle w:val="Default"/>
        <w:jc w:val="both"/>
        <w:rPr>
          <w:rFonts w:ascii="Arial Narrow" w:hAnsi="Arial Narrow"/>
          <w:b/>
        </w:rPr>
      </w:pPr>
    </w:p>
    <w:p w:rsidR="00420AA5" w:rsidRDefault="00420AA5" w:rsidP="00AA3509">
      <w:pPr>
        <w:pStyle w:val="Default"/>
        <w:jc w:val="both"/>
        <w:rPr>
          <w:rFonts w:ascii="Arial Narrow" w:hAnsi="Arial Narrow"/>
          <w:b/>
        </w:rPr>
      </w:pPr>
    </w:p>
    <w:p w:rsidR="00420AA5" w:rsidRDefault="00420AA5" w:rsidP="00AA3509">
      <w:pPr>
        <w:pStyle w:val="Default"/>
        <w:jc w:val="both"/>
        <w:rPr>
          <w:rFonts w:ascii="Arial Narrow" w:hAnsi="Arial Narrow"/>
          <w:b/>
        </w:rPr>
      </w:pPr>
    </w:p>
    <w:p w:rsidR="00420AA5" w:rsidRDefault="00420AA5" w:rsidP="00AA3509">
      <w:pPr>
        <w:pStyle w:val="Default"/>
        <w:jc w:val="both"/>
        <w:rPr>
          <w:rFonts w:ascii="Arial Narrow" w:hAnsi="Arial Narrow"/>
          <w:b/>
        </w:rPr>
      </w:pPr>
    </w:p>
    <w:p w:rsidR="00420AA5" w:rsidRDefault="00420AA5" w:rsidP="00AA3509">
      <w:pPr>
        <w:pStyle w:val="Default"/>
        <w:jc w:val="both"/>
        <w:rPr>
          <w:rFonts w:ascii="Arial Narrow" w:hAnsi="Arial Narrow"/>
          <w:b/>
        </w:rPr>
      </w:pPr>
    </w:p>
    <w:p w:rsidR="00420AA5" w:rsidRDefault="00420AA5" w:rsidP="00AA3509">
      <w:pPr>
        <w:pStyle w:val="Default"/>
        <w:jc w:val="both"/>
        <w:rPr>
          <w:rFonts w:ascii="Arial Narrow" w:hAnsi="Arial Narrow"/>
          <w:b/>
        </w:rPr>
      </w:pPr>
    </w:p>
    <w:p w:rsidR="00420AA5" w:rsidRDefault="00420AA5" w:rsidP="00AA3509">
      <w:pPr>
        <w:pStyle w:val="Default"/>
        <w:jc w:val="both"/>
        <w:rPr>
          <w:rFonts w:ascii="Arial Narrow" w:hAnsi="Arial Narrow"/>
          <w:b/>
        </w:rPr>
      </w:pPr>
    </w:p>
    <w:p w:rsidR="00420AA5" w:rsidRDefault="00420AA5" w:rsidP="00AA3509">
      <w:pPr>
        <w:pStyle w:val="Default"/>
        <w:jc w:val="both"/>
        <w:rPr>
          <w:rFonts w:ascii="Arial Narrow" w:hAnsi="Arial Narrow"/>
          <w:b/>
        </w:rPr>
      </w:pPr>
    </w:p>
    <w:p w:rsidR="00420AA5" w:rsidRDefault="00420AA5" w:rsidP="00AA3509">
      <w:pPr>
        <w:pStyle w:val="Default"/>
        <w:jc w:val="both"/>
        <w:rPr>
          <w:rFonts w:ascii="Arial Narrow" w:hAnsi="Arial Narrow"/>
          <w:b/>
        </w:rPr>
        <w:sectPr w:rsidR="00420AA5" w:rsidSect="006966D3">
          <w:headerReference w:type="default" r:id="rId9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:rsidR="00420AA5" w:rsidRDefault="00420AA5" w:rsidP="00AA3509">
      <w:pPr>
        <w:pStyle w:val="Default"/>
        <w:jc w:val="both"/>
        <w:rPr>
          <w:rFonts w:ascii="Arial Narrow" w:hAnsi="Arial Narrow"/>
          <w:b/>
        </w:rPr>
      </w:pPr>
    </w:p>
    <w:tbl>
      <w:tblPr>
        <w:tblStyle w:val="Mriekatabuky"/>
        <w:tblW w:w="13891" w:type="dxa"/>
        <w:tblInd w:w="250" w:type="dxa"/>
        <w:tblLayout w:type="fixed"/>
        <w:tblLook w:val="04A0"/>
      </w:tblPr>
      <w:tblGrid>
        <w:gridCol w:w="567"/>
        <w:gridCol w:w="1701"/>
        <w:gridCol w:w="1134"/>
        <w:gridCol w:w="5954"/>
        <w:gridCol w:w="2409"/>
        <w:gridCol w:w="2126"/>
      </w:tblGrid>
      <w:tr w:rsidR="00420AA5" w:rsidRPr="0079433A" w:rsidTr="00420AA5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P</w:t>
            </w:r>
            <w:r w:rsidRPr="0079433A">
              <w:rPr>
                <w:rFonts w:ascii="Arial Narrow" w:hAnsi="Arial Narrow"/>
                <w:b/>
                <w:sz w:val="24"/>
              </w:rPr>
              <w:t>.č.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79433A">
              <w:rPr>
                <w:rFonts w:ascii="Arial Narrow" w:hAnsi="Arial Narrow"/>
                <w:b/>
                <w:sz w:val="24"/>
              </w:rPr>
              <w:t>Názov položky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79433A">
              <w:rPr>
                <w:rFonts w:ascii="Arial Narrow" w:hAnsi="Arial Narrow"/>
                <w:b/>
                <w:sz w:val="24"/>
              </w:rPr>
              <w:t>Množstvo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79433A">
              <w:rPr>
                <w:rFonts w:ascii="Arial Narrow" w:hAnsi="Arial Narrow"/>
                <w:b/>
                <w:sz w:val="24"/>
              </w:rPr>
              <w:t>Špecifikácia</w:t>
            </w:r>
          </w:p>
        </w:tc>
        <w:tc>
          <w:tcPr>
            <w:tcW w:w="4535" w:type="dxa"/>
            <w:gridSpan w:val="2"/>
            <w:shd w:val="clear" w:color="auto" w:fill="D9D9D9" w:themeFill="background1" w:themeFillShade="D9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79433A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 xml:space="preserve">Vlastný návrh plnenia </w:t>
            </w:r>
          </w:p>
          <w:p w:rsidR="00420AA5" w:rsidRPr="0079433A" w:rsidRDefault="00420AA5" w:rsidP="00B03FB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79433A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420AA5" w:rsidRPr="0079433A" w:rsidRDefault="00420AA5" w:rsidP="00B03FB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</w:p>
          <w:p w:rsidR="00420AA5" w:rsidRPr="0079433A" w:rsidRDefault="00420AA5" w:rsidP="00B03FB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79433A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420AA5" w:rsidRPr="0079433A" w:rsidTr="00420AA5"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79433A">
              <w:rPr>
                <w:rFonts w:ascii="Arial Narrow" w:hAnsi="Arial Narrow"/>
                <w:sz w:val="24"/>
              </w:rPr>
              <w:t>Uchádzač uvedie presnú číselnú hodnotu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79433A">
              <w:rPr>
                <w:rFonts w:ascii="Arial Narrow" w:hAnsi="Arial Narrow" w:cs="Arial"/>
                <w:sz w:val="24"/>
              </w:rPr>
              <w:t>Uchádzač uvedie „áno/nie“</w:t>
            </w:r>
          </w:p>
        </w:tc>
      </w:tr>
      <w:tr w:rsidR="00420AA5" w:rsidRPr="0079433A" w:rsidTr="00420AA5"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:rsidR="00420AA5" w:rsidRPr="00EF2F98" w:rsidRDefault="00420AA5" w:rsidP="00B03FBC">
            <w:pPr>
              <w:rPr>
                <w:rFonts w:ascii="Arial Narrow" w:hAnsi="Arial Narrow"/>
                <w:b/>
                <w:sz w:val="24"/>
              </w:rPr>
            </w:pPr>
            <w:r w:rsidRPr="00EF2F98">
              <w:rPr>
                <w:rFonts w:ascii="Arial Narrow" w:hAnsi="Arial Narrow"/>
                <w:sz w:val="24"/>
              </w:rPr>
              <w:t>1.</w:t>
            </w:r>
          </w:p>
          <w:p w:rsidR="00420AA5" w:rsidRDefault="00420AA5" w:rsidP="00B03FBC">
            <w:pPr>
              <w:rPr>
                <w:rFonts w:ascii="Arial Narrow" w:hAnsi="Arial Narrow"/>
                <w:sz w:val="24"/>
              </w:rPr>
            </w:pPr>
          </w:p>
          <w:p w:rsidR="00420AA5" w:rsidRPr="00EF2F98" w:rsidRDefault="00420AA5" w:rsidP="00B03FBC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420AA5" w:rsidRDefault="00420AA5" w:rsidP="00B03FBC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</w:rPr>
              <w:t xml:space="preserve">Pracovný pult </w:t>
            </w:r>
          </w:p>
          <w:p w:rsidR="00420AA5" w:rsidRPr="00EF2F98" w:rsidRDefault="00420AA5" w:rsidP="00B03FBC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</w:rPr>
              <w:t>(210 x 110 cm)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420AA5" w:rsidRPr="0025633A" w:rsidRDefault="00420AA5" w:rsidP="00B03FBC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8</w:t>
            </w:r>
            <w:r w:rsidRPr="0025633A">
              <w:rPr>
                <w:rFonts w:ascii="Arial Narrow" w:hAnsi="Arial Narrow"/>
                <w:b/>
                <w:sz w:val="24"/>
              </w:rPr>
              <w:t xml:space="preserve"> ks</w:t>
            </w:r>
          </w:p>
        </w:tc>
        <w:tc>
          <w:tcPr>
            <w:tcW w:w="5954" w:type="dxa"/>
            <w:shd w:val="clear" w:color="auto" w:fill="EAF1DD" w:themeFill="accent3" w:themeFillTint="33"/>
            <w:vAlign w:val="center"/>
          </w:tcPr>
          <w:p w:rsidR="00420AA5" w:rsidRPr="0079433A" w:rsidRDefault="00420AA5" w:rsidP="00B03FBC">
            <w:pPr>
              <w:rPr>
                <w:rFonts w:ascii="Arial Narrow" w:hAnsi="Arial Narrow"/>
                <w:b/>
                <w:sz w:val="24"/>
              </w:rPr>
            </w:pPr>
            <w:r w:rsidRPr="0079433A">
              <w:rPr>
                <w:rFonts w:ascii="Arial Narrow" w:hAnsi="Arial Narrow"/>
                <w:b/>
                <w:sz w:val="24"/>
              </w:rPr>
              <w:t>Výrobca</w:t>
            </w:r>
          </w:p>
        </w:tc>
        <w:tc>
          <w:tcPr>
            <w:tcW w:w="4535" w:type="dxa"/>
            <w:gridSpan w:val="2"/>
            <w:shd w:val="clear" w:color="auto" w:fill="EAF1DD" w:themeFill="accent3" w:themeFillTint="33"/>
          </w:tcPr>
          <w:p w:rsidR="00420AA5" w:rsidRPr="0079433A" w:rsidRDefault="00420AA5" w:rsidP="00B03FBC">
            <w:pPr>
              <w:jc w:val="center"/>
              <w:rPr>
                <w:rFonts w:ascii="Arial Narrow" w:hAnsi="Arial Narrow" w:cs="Arial"/>
                <w:sz w:val="24"/>
              </w:rPr>
            </w:pPr>
          </w:p>
        </w:tc>
      </w:tr>
      <w:tr w:rsidR="00420AA5" w:rsidRPr="0079433A" w:rsidTr="00420AA5"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420AA5" w:rsidRPr="0079433A" w:rsidRDefault="00420AA5" w:rsidP="00B03FBC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20AA5" w:rsidRPr="0079433A" w:rsidRDefault="00420AA5" w:rsidP="00B03FBC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20AA5" w:rsidRPr="0079433A" w:rsidRDefault="00420AA5" w:rsidP="00B03FBC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5954" w:type="dxa"/>
            <w:shd w:val="clear" w:color="auto" w:fill="EAF1DD" w:themeFill="accent3" w:themeFillTint="33"/>
            <w:vAlign w:val="center"/>
          </w:tcPr>
          <w:p w:rsidR="00420AA5" w:rsidRPr="0079433A" w:rsidRDefault="00420AA5" w:rsidP="00B03FBC">
            <w:pPr>
              <w:rPr>
                <w:rFonts w:ascii="Arial Narrow" w:hAnsi="Arial Narrow"/>
                <w:b/>
                <w:sz w:val="24"/>
              </w:rPr>
            </w:pPr>
            <w:r w:rsidRPr="0079433A">
              <w:rPr>
                <w:rFonts w:ascii="Arial Narrow" w:hAnsi="Arial Narrow"/>
                <w:b/>
                <w:sz w:val="24"/>
              </w:rPr>
              <w:t>Typové označenie</w:t>
            </w:r>
          </w:p>
        </w:tc>
        <w:tc>
          <w:tcPr>
            <w:tcW w:w="4535" w:type="dxa"/>
            <w:gridSpan w:val="2"/>
            <w:shd w:val="clear" w:color="auto" w:fill="EAF1DD" w:themeFill="accent3" w:themeFillTint="33"/>
          </w:tcPr>
          <w:p w:rsidR="00420AA5" w:rsidRPr="0079433A" w:rsidRDefault="00420AA5" w:rsidP="00B03FBC">
            <w:pPr>
              <w:jc w:val="center"/>
              <w:rPr>
                <w:rFonts w:ascii="Arial Narrow" w:hAnsi="Arial Narrow" w:cs="Arial"/>
                <w:sz w:val="24"/>
              </w:rPr>
            </w:pPr>
          </w:p>
        </w:tc>
      </w:tr>
      <w:tr w:rsidR="00420AA5" w:rsidRPr="0079433A" w:rsidTr="00420AA5"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420AA5" w:rsidRPr="0079433A" w:rsidRDefault="00420AA5" w:rsidP="00B03FBC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20AA5" w:rsidRPr="0079433A" w:rsidRDefault="00420AA5" w:rsidP="00B03FBC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20AA5" w:rsidRPr="0079433A" w:rsidRDefault="00420AA5" w:rsidP="00B03FBC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5954" w:type="dxa"/>
            <w:shd w:val="clear" w:color="auto" w:fill="EAF1DD" w:themeFill="accent3" w:themeFillTint="33"/>
            <w:vAlign w:val="center"/>
          </w:tcPr>
          <w:p w:rsidR="00420AA5" w:rsidRPr="0079433A" w:rsidRDefault="00420AA5" w:rsidP="00B03FBC">
            <w:pPr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79433A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 xml:space="preserve">Požaduje sa uviesť link na webovú stránku  </w:t>
            </w:r>
          </w:p>
          <w:p w:rsidR="00420AA5" w:rsidRPr="0079433A" w:rsidRDefault="00420AA5" w:rsidP="00B03FBC">
            <w:pPr>
              <w:rPr>
                <w:rFonts w:ascii="Arial Narrow" w:hAnsi="Arial Narrow"/>
                <w:b/>
                <w:sz w:val="24"/>
              </w:rPr>
            </w:pPr>
            <w:r w:rsidRPr="0079433A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 xml:space="preserve">s fotografiou a technickou špecifikáciou ponúkaného zariadenia, napr. link na technický alebo katalógový list </w:t>
            </w:r>
          </w:p>
        </w:tc>
        <w:tc>
          <w:tcPr>
            <w:tcW w:w="4535" w:type="dxa"/>
            <w:gridSpan w:val="2"/>
            <w:shd w:val="clear" w:color="auto" w:fill="EAF1DD" w:themeFill="accent3" w:themeFillTint="33"/>
          </w:tcPr>
          <w:p w:rsidR="00420AA5" w:rsidRPr="0079433A" w:rsidRDefault="00420AA5" w:rsidP="00B03FBC">
            <w:pPr>
              <w:jc w:val="center"/>
              <w:rPr>
                <w:rFonts w:ascii="Arial Narrow" w:hAnsi="Arial Narrow" w:cs="Arial"/>
                <w:sz w:val="24"/>
              </w:rPr>
            </w:pPr>
          </w:p>
        </w:tc>
      </w:tr>
      <w:tr w:rsidR="00420AA5" w:rsidRPr="0079433A" w:rsidTr="00420AA5"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20AA5" w:rsidRPr="0079433A" w:rsidRDefault="00420AA5" w:rsidP="00B03FBC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  <w:r w:rsidRPr="00414C25">
              <w:rPr>
                <w:rFonts w:ascii="Arial Narrow" w:hAnsi="Arial Narrow"/>
                <w:sz w:val="24"/>
              </w:rPr>
              <w:t>Pracovná plocha pracovných pultov</w:t>
            </w:r>
            <w:r>
              <w:rPr>
                <w:rFonts w:ascii="Arial Narrow" w:hAnsi="Arial Narrow"/>
                <w:sz w:val="24"/>
              </w:rPr>
              <w:t xml:space="preserve"> musí byť</w:t>
            </w:r>
            <w:r w:rsidRPr="00414C25">
              <w:rPr>
                <w:rFonts w:ascii="Arial Narrow" w:hAnsi="Arial Narrow"/>
                <w:sz w:val="24"/>
              </w:rPr>
              <w:t xml:space="preserve"> rozdelená na prednú pracovnú plochu a zadnú zníženú úložnú plochu</w:t>
            </w:r>
            <w:r>
              <w:rPr>
                <w:rFonts w:ascii="Arial Narrow" w:hAnsi="Arial Narrow"/>
                <w:sz w:val="24"/>
              </w:rPr>
              <w:t>. V zadnej zníženej doske musia byť vyvŕtané 3 ks D10mm otvorov, podľa požiadaviek verejného obstarávateľa, pre uchytenie ergotronov do dosky</w:t>
            </w:r>
          </w:p>
        </w:tc>
        <w:tc>
          <w:tcPr>
            <w:tcW w:w="2409" w:type="dxa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420AA5" w:rsidRPr="0079433A" w:rsidTr="00420AA5"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  <w:r w:rsidRPr="00414C25">
              <w:rPr>
                <w:rFonts w:ascii="Arial Narrow" w:hAnsi="Arial Narrow"/>
                <w:sz w:val="24"/>
              </w:rPr>
              <w:t>Pevne spojená nezváraná rámová konštrukcia musí byť tvorená systémovými profilmi, zhotovenými z ľahkých kovov</w:t>
            </w:r>
          </w:p>
        </w:tc>
        <w:tc>
          <w:tcPr>
            <w:tcW w:w="2409" w:type="dxa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420AA5" w:rsidRPr="0079433A" w:rsidTr="00420AA5">
        <w:tc>
          <w:tcPr>
            <w:tcW w:w="567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420AA5" w:rsidRPr="00414C25" w:rsidRDefault="00420AA5" w:rsidP="00B03FBC">
            <w:pPr>
              <w:spacing w:before="100" w:beforeAutospacing="1" w:after="100" w:afterAutospacing="1"/>
              <w:contextualSpacing/>
              <w:jc w:val="left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414C25">
              <w:rPr>
                <w:rFonts w:ascii="Arial Narrow" w:hAnsi="Arial Narrow"/>
                <w:sz w:val="24"/>
              </w:rPr>
              <w:t xml:space="preserve">Celý rám musí byť vodivý, t. </w:t>
            </w:r>
            <w:r>
              <w:rPr>
                <w:rFonts w:ascii="Arial Narrow" w:hAnsi="Arial Narrow"/>
                <w:sz w:val="24"/>
              </w:rPr>
              <w:t>j.</w:t>
            </w:r>
            <w:r w:rsidRPr="00414C25">
              <w:rPr>
                <w:rFonts w:ascii="Arial Narrow" w:hAnsi="Arial Narrow"/>
                <w:sz w:val="24"/>
              </w:rPr>
              <w:t xml:space="preserve"> musí tvoriť komplexný vodivý systém s centrálnym uzemnením pomocou prípojného konektora, cez ktorý bude pripojený na ochranný uzemnený plášť budovy</w:t>
            </w:r>
          </w:p>
        </w:tc>
        <w:tc>
          <w:tcPr>
            <w:tcW w:w="2409" w:type="dxa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420AA5" w:rsidRPr="0079433A" w:rsidTr="00420AA5">
        <w:tc>
          <w:tcPr>
            <w:tcW w:w="567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420AA5" w:rsidRPr="00414C25" w:rsidRDefault="00420AA5" w:rsidP="00B03FBC">
            <w:pPr>
              <w:spacing w:before="100" w:beforeAutospacing="1" w:after="100" w:afterAutospacing="1"/>
              <w:contextualSpacing/>
              <w:jc w:val="left"/>
              <w:rPr>
                <w:rFonts w:ascii="Arial Narrow" w:hAnsi="Arial Narrow"/>
                <w:sz w:val="24"/>
              </w:rPr>
            </w:pPr>
            <w:r w:rsidRPr="00414C25">
              <w:rPr>
                <w:rFonts w:ascii="Arial Narrow" w:hAnsi="Arial Narrow"/>
                <w:sz w:val="24"/>
              </w:rPr>
              <w:t>Konštrukcia musí umožňovať budúce vkladanie prvkov bez zvárania a</w:t>
            </w:r>
            <w:r>
              <w:rPr>
                <w:rFonts w:ascii="Arial Narrow" w:hAnsi="Arial Narrow"/>
                <w:sz w:val="24"/>
              </w:rPr>
              <w:t> </w:t>
            </w:r>
            <w:r w:rsidRPr="00414C25">
              <w:rPr>
                <w:rFonts w:ascii="Arial Narrow" w:hAnsi="Arial Narrow"/>
                <w:sz w:val="24"/>
              </w:rPr>
              <w:t>vŕtania</w:t>
            </w:r>
            <w:r>
              <w:rPr>
                <w:rFonts w:ascii="Arial Narrow" w:hAnsi="Arial Narrow"/>
                <w:sz w:val="24"/>
              </w:rPr>
              <w:t xml:space="preserve"> – matice, uholíky</w:t>
            </w:r>
          </w:p>
        </w:tc>
        <w:tc>
          <w:tcPr>
            <w:tcW w:w="2409" w:type="dxa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420AA5" w:rsidRPr="0079433A" w:rsidTr="00420AA5">
        <w:tc>
          <w:tcPr>
            <w:tcW w:w="567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420AA5" w:rsidRPr="00414C25" w:rsidRDefault="00420AA5" w:rsidP="00B03FBC">
            <w:pPr>
              <w:spacing w:before="100" w:beforeAutospacing="1" w:after="100" w:afterAutospacing="1"/>
              <w:contextualSpacing/>
              <w:jc w:val="left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414C25">
              <w:rPr>
                <w:rFonts w:ascii="Arial Narrow" w:hAnsi="Arial Narrow"/>
                <w:sz w:val="24"/>
              </w:rPr>
              <w:t xml:space="preserve">Pracovné pulty </w:t>
            </w:r>
            <w:r>
              <w:rPr>
                <w:rFonts w:ascii="Arial Narrow" w:hAnsi="Arial Narrow"/>
                <w:sz w:val="24"/>
              </w:rPr>
              <w:t xml:space="preserve">musia byť osadené </w:t>
            </w:r>
            <w:r w:rsidRPr="00414C25">
              <w:rPr>
                <w:rFonts w:ascii="Arial Narrow" w:hAnsi="Arial Narrow"/>
                <w:sz w:val="24"/>
              </w:rPr>
              <w:t xml:space="preserve">do horizontálnej polohy s ohľadom na možné nerovnosti podlahy pomocou </w:t>
            </w:r>
            <w:r>
              <w:rPr>
                <w:rFonts w:ascii="Arial Narrow" w:hAnsi="Arial Narrow"/>
                <w:sz w:val="24"/>
              </w:rPr>
              <w:t>aretačného variabilného systému</w:t>
            </w:r>
            <w:r w:rsidRPr="00414C25">
              <w:rPr>
                <w:rFonts w:ascii="Arial Narrow" w:hAnsi="Arial Narrow"/>
                <w:sz w:val="24"/>
              </w:rPr>
              <w:t xml:space="preserve"> tak, aby bolo možné kedykoľvek zmeniť rozmiestnenie jednotlivých prvkov systému podľa konkrétneho </w:t>
            </w:r>
            <w:r w:rsidRPr="00414C25">
              <w:rPr>
                <w:rFonts w:ascii="Arial Narrow" w:hAnsi="Arial Narrow"/>
                <w:sz w:val="24"/>
              </w:rPr>
              <w:lastRenderedPageBreak/>
              <w:t>rozloženia prípojných podlahových segmentov</w:t>
            </w:r>
          </w:p>
        </w:tc>
        <w:tc>
          <w:tcPr>
            <w:tcW w:w="2409" w:type="dxa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420AA5" w:rsidRPr="0079433A" w:rsidTr="00420AA5">
        <w:tc>
          <w:tcPr>
            <w:tcW w:w="567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420AA5" w:rsidRPr="00414C25" w:rsidRDefault="00420AA5" w:rsidP="00B03FBC">
            <w:pPr>
              <w:spacing w:before="100" w:beforeAutospacing="1" w:after="100" w:afterAutospacing="1"/>
              <w:contextualSpacing/>
              <w:jc w:val="left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414C25">
              <w:rPr>
                <w:rFonts w:ascii="Arial Narrow" w:hAnsi="Arial Narrow"/>
                <w:sz w:val="24"/>
              </w:rPr>
              <w:t>Maximálna</w:t>
            </w:r>
            <w:r>
              <w:rPr>
                <w:rFonts w:ascii="Arial Narrow" w:hAnsi="Arial Narrow"/>
                <w:sz w:val="24"/>
              </w:rPr>
              <w:t xml:space="preserve"> požadovaná</w:t>
            </w:r>
            <w:r w:rsidRPr="00414C25">
              <w:rPr>
                <w:rFonts w:ascii="Arial Narrow" w:hAnsi="Arial Narrow"/>
                <w:sz w:val="24"/>
              </w:rPr>
              <w:t xml:space="preserve"> výška aretačného vyrovnávacieho systému – minimálne 3 cm</w:t>
            </w:r>
          </w:p>
        </w:tc>
        <w:tc>
          <w:tcPr>
            <w:tcW w:w="2409" w:type="dxa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420AA5" w:rsidRPr="0079433A" w:rsidTr="00420AA5">
        <w:tc>
          <w:tcPr>
            <w:tcW w:w="567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420AA5" w:rsidRPr="00414C25" w:rsidRDefault="00420AA5" w:rsidP="00B03FBC">
            <w:pPr>
              <w:spacing w:before="100" w:beforeAutospacing="1" w:after="100" w:afterAutospacing="1"/>
              <w:contextualSpacing/>
              <w:jc w:val="left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414C25">
              <w:rPr>
                <w:rFonts w:ascii="Arial Narrow" w:hAnsi="Arial Narrow"/>
                <w:sz w:val="24"/>
              </w:rPr>
              <w:t>Pracov</w:t>
            </w:r>
            <w:r>
              <w:rPr>
                <w:rFonts w:ascii="Arial Narrow" w:hAnsi="Arial Narrow"/>
                <w:sz w:val="24"/>
              </w:rPr>
              <w:t>ný pult musí byť vybavený podpor</w:t>
            </w:r>
            <w:r w:rsidRPr="00414C25">
              <w:rPr>
                <w:rFonts w:ascii="Arial Narrow" w:hAnsi="Arial Narrow"/>
                <w:sz w:val="24"/>
              </w:rPr>
              <w:t>nou technologickou časťou na uloženie komponentov infraštruktúry systému. Technologická časť musí obsahovať dva samostatné rackové vstavané boxy</w:t>
            </w:r>
            <w:r w:rsidRPr="00641CBE">
              <w:rPr>
                <w:rFonts w:ascii="Arial Narrow" w:hAnsi="Arial Narrow"/>
                <w:sz w:val="24"/>
              </w:rPr>
              <w:t>v štandarde 19"</w:t>
            </w:r>
            <w:r>
              <w:rPr>
                <w:rFonts w:ascii="Arial Narrow" w:hAnsi="Arial Narrow"/>
                <w:sz w:val="24"/>
              </w:rPr>
              <w:t xml:space="preserve">vykladané zo štyroch líšt so štvorcovými otvormi pre klipko matice M6 rozteč 19“ bude zaistená konštrukčne upevnením na systémové AL profily cez matice/kamene/ s veľkosťou minimálne 10U a hĺbkou 40 cm. Rackový box bude uložený </w:t>
            </w:r>
            <w:r w:rsidRPr="00414C25">
              <w:rPr>
                <w:rFonts w:ascii="Arial Narrow" w:hAnsi="Arial Narrow"/>
                <w:sz w:val="24"/>
              </w:rPr>
              <w:t>v pravom a ľavom zadnom čele pultu (zadná časť je považovaná za stranu pultu vzdialenejšiu od operátora ďalej len "zadná strana pultu"), musia byť spojené medzi sebou prostredníctvom spojovacieho modulu - "tunelom", ktorý umožňuje pohodlné preťahovanie káblov medzi obidvoma rackovými skriňami (boxami). V prepojovacom module musia byť dva samostatné káblové prechody s minimálnym rozmerom 5 x 5 cm na rozdelenie a fixáciu silových a dátových káblov. Podporná technologická časť pultu nesmie obmedzovať priťahovanie nôh obsluhy, v strede pultu musí zostať celá hĺbka pre nohy voľná</w:t>
            </w:r>
            <w:r>
              <w:rPr>
                <w:rFonts w:ascii="Arial Narrow" w:hAnsi="Arial Narrow"/>
                <w:sz w:val="24"/>
              </w:rPr>
              <w:t>. V ľavej podpornej technologickej časti musí byť umiestnená 1 ks polica lamino DTD 16 mm, farba: grafit U1257 395/470mm</w:t>
            </w:r>
          </w:p>
        </w:tc>
        <w:tc>
          <w:tcPr>
            <w:tcW w:w="2409" w:type="dxa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420AA5" w:rsidRPr="0079433A" w:rsidTr="00420AA5">
        <w:tc>
          <w:tcPr>
            <w:tcW w:w="567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420AA5" w:rsidRPr="00414C25" w:rsidRDefault="00420AA5" w:rsidP="00B03FBC">
            <w:pPr>
              <w:spacing w:before="100" w:beforeAutospacing="1" w:after="100" w:afterAutospacing="1"/>
              <w:contextualSpacing/>
              <w:jc w:val="left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414C25">
              <w:rPr>
                <w:rFonts w:ascii="Arial Narrow" w:hAnsi="Arial Narrow"/>
                <w:sz w:val="24"/>
              </w:rPr>
              <w:t>Prístup do technologického priestoru pultu</w:t>
            </w:r>
            <w:r>
              <w:rPr>
                <w:rFonts w:ascii="Arial Narrow" w:hAnsi="Arial Narrow"/>
                <w:sz w:val="24"/>
              </w:rPr>
              <w:t xml:space="preserve"> musí byť zabezpečený</w:t>
            </w:r>
            <w:r w:rsidRPr="00414C25">
              <w:rPr>
                <w:rFonts w:ascii="Arial Narrow" w:hAnsi="Arial Narrow"/>
                <w:sz w:val="24"/>
              </w:rPr>
              <w:t xml:space="preserve"> zo zadnej a z bočnej strany pultu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420AA5" w:rsidRPr="0079433A" w:rsidTr="00420AA5">
        <w:tc>
          <w:tcPr>
            <w:tcW w:w="567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420AA5" w:rsidRPr="005D15E1" w:rsidRDefault="00420AA5" w:rsidP="00B03FBC">
            <w:pPr>
              <w:spacing w:before="100" w:beforeAutospacing="1" w:after="100" w:afterAutospacing="1"/>
              <w:contextualSpacing/>
              <w:jc w:val="left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5D15E1">
              <w:rPr>
                <w:rFonts w:ascii="Arial Narrow" w:hAnsi="Arial Narrow"/>
                <w:sz w:val="24"/>
              </w:rPr>
              <w:t xml:space="preserve">Opláštenie technologických skriňových boxov zo strany operátora a z bokov musí byť realizované </w:t>
            </w:r>
            <w:r>
              <w:rPr>
                <w:rFonts w:ascii="Arial Narrow" w:hAnsi="Arial Narrow"/>
                <w:sz w:val="24"/>
              </w:rPr>
              <w:t xml:space="preserve">lamino DTD 16mm, farba: grafit U1257. Dvere nie na otváranie, ale výsuvné na zadnej a bočnej strane oboch skriňových boxov. Z dôvodu dostatočného odvetrania PC technológie do čelných a zadných krytov LDTD dosiek je potrebné vyfrézovať otvory a osadiť 4 ks AL mriežky s rozmerom: v/š 150/400 130 mm od spodnej hrany. </w:t>
            </w:r>
            <w:r w:rsidRPr="005D15E1">
              <w:rPr>
                <w:rFonts w:ascii="Arial Narrow" w:hAnsi="Arial Narrow"/>
                <w:sz w:val="24"/>
              </w:rPr>
              <w:t xml:space="preserve">Dvere musia byť upevnené k lodným zámkom s jednoduchou </w:t>
            </w:r>
            <w:r w:rsidRPr="005D15E1">
              <w:rPr>
                <w:rFonts w:ascii="Arial Narrow" w:hAnsi="Arial Narrow"/>
                <w:sz w:val="24"/>
              </w:rPr>
              <w:lastRenderedPageBreak/>
              <w:t xml:space="preserve">odnímateľnosťou. Horné zakrytie technologických boxov musí byť </w:t>
            </w:r>
            <w:r>
              <w:rPr>
                <w:rFonts w:ascii="Arial Narrow" w:hAnsi="Arial Narrow"/>
                <w:sz w:val="24"/>
              </w:rPr>
              <w:t>v prevedení HPL hrúbka 3 mm s dostatkom ventilačných otvorov vo farbe grafit, uchytenie krytu skrutky M5 imbus s ryhami pre jednoduché odskrutkovanie bez použitia kľúčov a skrutkovačov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420AA5" w:rsidRPr="0079433A" w:rsidTr="00420AA5">
        <w:tc>
          <w:tcPr>
            <w:tcW w:w="567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420AA5" w:rsidRPr="005D15E1" w:rsidRDefault="00420AA5" w:rsidP="00B03FBC">
            <w:pPr>
              <w:spacing w:before="100" w:beforeAutospacing="1" w:after="100" w:afterAutospacing="1"/>
              <w:contextualSpacing/>
              <w:jc w:val="left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5D15E1">
              <w:rPr>
                <w:rFonts w:ascii="Arial Narrow" w:hAnsi="Arial Narrow"/>
                <w:sz w:val="24"/>
              </w:rPr>
              <w:t>Zdvíhanie pracovného pultu musí byť realizované pomocou 2 elektromotorov s plynulým pohybom v celom rozsahu</w:t>
            </w:r>
            <w:r>
              <w:rPr>
                <w:rFonts w:ascii="Arial Narrow" w:hAnsi="Arial Narrow"/>
                <w:sz w:val="24"/>
              </w:rPr>
              <w:t xml:space="preserve">, </w:t>
            </w:r>
            <w:r w:rsidRPr="005D15E1">
              <w:rPr>
                <w:rFonts w:ascii="Arial Narrow" w:hAnsi="Arial Narrow"/>
                <w:sz w:val="24"/>
              </w:rPr>
              <w:t>, pričom nesmie dochádzať k namáhaniu pracovnej dosky alebo iných častí pultu krútením alebo búchaním. Musí byť zabezpečená synchronizácia obidvoc</w:t>
            </w:r>
            <w:r>
              <w:rPr>
                <w:rFonts w:ascii="Arial Narrow" w:hAnsi="Arial Narrow"/>
                <w:sz w:val="24"/>
              </w:rPr>
              <w:t>h motorov cez riadiacu jednotku.</w:t>
            </w:r>
            <w:r w:rsidRPr="005D15E1">
              <w:rPr>
                <w:rFonts w:ascii="Arial Narrow" w:hAnsi="Arial Narrow"/>
                <w:sz w:val="24"/>
              </w:rPr>
              <w:t xml:space="preserve"> Parametre zdvihu musia byť individuálne programovateľné (pracovná doska a rýchlosť posunu pracovnej dosky)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420AA5" w:rsidRPr="0079433A" w:rsidTr="00420AA5">
        <w:tc>
          <w:tcPr>
            <w:tcW w:w="567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420AA5" w:rsidRPr="00414C25" w:rsidRDefault="00420AA5" w:rsidP="00B03FBC">
            <w:pPr>
              <w:spacing w:before="100" w:beforeAutospacing="1" w:after="100" w:afterAutospacing="1"/>
              <w:contextualSpacing/>
              <w:jc w:val="left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414C25">
              <w:rPr>
                <w:rFonts w:ascii="Arial Narrow" w:hAnsi="Arial Narrow"/>
                <w:sz w:val="24"/>
              </w:rPr>
              <w:t xml:space="preserve">Ovládacie prvky na posun pultu </w:t>
            </w:r>
            <w:r>
              <w:rPr>
                <w:rFonts w:ascii="Arial Narrow" w:hAnsi="Arial Narrow"/>
                <w:sz w:val="24"/>
              </w:rPr>
              <w:t>musia byť umiestnené</w:t>
            </w:r>
            <w:r w:rsidRPr="00414C25">
              <w:rPr>
                <w:rFonts w:ascii="Arial Narrow" w:hAnsi="Arial Narrow"/>
                <w:sz w:val="24"/>
              </w:rPr>
              <w:t xml:space="preserve"> na spodnej strane prac</w:t>
            </w:r>
            <w:r>
              <w:rPr>
                <w:rFonts w:ascii="Arial Narrow" w:hAnsi="Arial Narrow"/>
                <w:sz w:val="24"/>
              </w:rPr>
              <w:t xml:space="preserve">ovnej dosky zhruba v tretine až polovici hĺbky pracovnej dosky.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420AA5" w:rsidRPr="0079433A" w:rsidTr="00420AA5">
        <w:trPr>
          <w:trHeight w:val="337"/>
        </w:trPr>
        <w:tc>
          <w:tcPr>
            <w:tcW w:w="567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420AA5" w:rsidRPr="00414C25" w:rsidRDefault="00420AA5" w:rsidP="00B03FBC">
            <w:pPr>
              <w:spacing w:before="100" w:beforeAutospacing="1" w:after="100" w:afterAutospacing="1"/>
              <w:contextualSpacing/>
              <w:jc w:val="left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414C25">
              <w:rPr>
                <w:rFonts w:ascii="Arial Narrow" w:hAnsi="Arial Narrow"/>
                <w:sz w:val="24"/>
              </w:rPr>
              <w:t xml:space="preserve">Všetky káble technických prostriedkov umiestnených na pracovnom pulte a medzi pracovnou doskou a technologickou časťou </w:t>
            </w:r>
            <w:r>
              <w:rPr>
                <w:rFonts w:ascii="Arial Narrow" w:hAnsi="Arial Narrow"/>
                <w:sz w:val="24"/>
              </w:rPr>
              <w:t xml:space="preserve">musia byť uchytené </w:t>
            </w:r>
            <w:r w:rsidRPr="00414C25">
              <w:rPr>
                <w:rFonts w:ascii="Arial Narrow" w:hAnsi="Arial Narrow"/>
                <w:sz w:val="24"/>
              </w:rPr>
              <w:t>do organizéra (tzv. Energetického reťazca)</w:t>
            </w:r>
            <w:r>
              <w:rPr>
                <w:rFonts w:ascii="Arial Narrow" w:hAnsi="Arial Narrow"/>
                <w:sz w:val="24"/>
              </w:rPr>
              <w:t xml:space="preserve"> v počte 2 ks, pričom 1 ks musí byť zvedený do ľavého a 1 ks do pravého technologického boxu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420AA5" w:rsidRPr="0079433A" w:rsidTr="00420AA5">
        <w:tc>
          <w:tcPr>
            <w:tcW w:w="567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420AA5" w:rsidRPr="00414C25" w:rsidRDefault="00420AA5" w:rsidP="00B03FBC">
            <w:pPr>
              <w:spacing w:before="100" w:beforeAutospacing="1" w:after="100" w:afterAutospacing="1"/>
              <w:contextualSpacing/>
              <w:jc w:val="left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414C25">
              <w:rPr>
                <w:rFonts w:ascii="Arial Narrow" w:hAnsi="Arial Narrow"/>
                <w:sz w:val="24"/>
              </w:rPr>
              <w:t>Napájanie elektrické</w:t>
            </w:r>
            <w:r>
              <w:rPr>
                <w:rFonts w:ascii="Arial Narrow" w:hAnsi="Arial Narrow"/>
                <w:sz w:val="24"/>
              </w:rPr>
              <w:t xml:space="preserve">ho vertikálneho pohonu pultu musí byť </w:t>
            </w:r>
            <w:r w:rsidRPr="00414C25">
              <w:rPr>
                <w:rFonts w:ascii="Arial Narrow" w:hAnsi="Arial Narrow"/>
                <w:sz w:val="24"/>
              </w:rPr>
              <w:t xml:space="preserve">vykonané zo samostatného </w:t>
            </w:r>
            <w:r>
              <w:rPr>
                <w:rFonts w:ascii="Arial Narrow" w:hAnsi="Arial Narrow"/>
                <w:sz w:val="24"/>
              </w:rPr>
              <w:t>rozvodného panelu 5x</w:t>
            </w:r>
            <w:r w:rsidRPr="00414C25">
              <w:rPr>
                <w:rFonts w:ascii="Arial Narrow" w:hAnsi="Arial Narrow"/>
                <w:sz w:val="24"/>
              </w:rPr>
              <w:t>230V</w:t>
            </w:r>
            <w:r>
              <w:rPr>
                <w:rFonts w:ascii="Arial Narrow" w:hAnsi="Arial Narrow"/>
                <w:sz w:val="24"/>
              </w:rPr>
              <w:t>, 1.5U 19“ v čiernej farbe</w:t>
            </w:r>
            <w:r w:rsidRPr="00414C25">
              <w:rPr>
                <w:rFonts w:ascii="Arial Narrow" w:hAnsi="Arial Narrow"/>
                <w:sz w:val="24"/>
              </w:rPr>
              <w:t xml:space="preserve"> (z nevratnej siete), ktorá je súčasťou technologického pultu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420AA5" w:rsidRPr="0079433A" w:rsidTr="00420AA5">
        <w:tc>
          <w:tcPr>
            <w:tcW w:w="567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420AA5" w:rsidRPr="00414C25" w:rsidRDefault="00420AA5" w:rsidP="00B03FBC">
            <w:pPr>
              <w:spacing w:before="100" w:beforeAutospacing="1" w:after="100" w:afterAutospacing="1"/>
              <w:contextualSpacing/>
              <w:jc w:val="lef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Elektrické zásuvky 230V inštalované v rámci pultu musia byť farebne rozlíšené podľa typu prívodného vedenia</w:t>
            </w:r>
          </w:p>
        </w:tc>
        <w:tc>
          <w:tcPr>
            <w:tcW w:w="2409" w:type="dxa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420AA5" w:rsidRPr="0079433A" w:rsidTr="00420AA5">
        <w:tc>
          <w:tcPr>
            <w:tcW w:w="567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420AA5" w:rsidRDefault="00420AA5" w:rsidP="00BC7BC6">
            <w:pPr>
              <w:spacing w:before="100" w:beforeAutospacing="1" w:after="100" w:afterAutospacing="1"/>
              <w:contextualSpacing/>
              <w:jc w:val="left"/>
              <w:rPr>
                <w:rFonts w:ascii="Arial Narrow" w:hAnsi="Arial Narrow"/>
                <w:sz w:val="24"/>
              </w:rPr>
            </w:pPr>
            <w:r w:rsidRPr="00414C25">
              <w:rPr>
                <w:rFonts w:ascii="Arial Narrow" w:hAnsi="Arial Narrow"/>
                <w:sz w:val="24"/>
              </w:rPr>
              <w:t xml:space="preserve">Pult musí byť vybavený jedným napájacím panelom, </w:t>
            </w:r>
            <w:r>
              <w:rPr>
                <w:rFonts w:ascii="Arial Narrow" w:hAnsi="Arial Narrow"/>
                <w:sz w:val="24"/>
              </w:rPr>
              <w:t xml:space="preserve">5x230V 1.5U 19“ </w:t>
            </w:r>
            <w:r w:rsidRPr="00414C25">
              <w:rPr>
                <w:rFonts w:ascii="Arial Narrow" w:hAnsi="Arial Narrow"/>
                <w:sz w:val="24"/>
              </w:rPr>
              <w:t xml:space="preserve">určeným pre </w:t>
            </w:r>
            <w:r>
              <w:rPr>
                <w:rFonts w:ascii="Arial Narrow" w:hAnsi="Arial Narrow"/>
                <w:sz w:val="24"/>
              </w:rPr>
              <w:t>ne</w:t>
            </w:r>
            <w:r w:rsidRPr="00414C25">
              <w:rPr>
                <w:rFonts w:ascii="Arial Narrow" w:hAnsi="Arial Narrow"/>
                <w:sz w:val="24"/>
              </w:rPr>
              <w:t>zálohovaný okruh</w:t>
            </w:r>
            <w:r>
              <w:rPr>
                <w:rFonts w:ascii="Arial Narrow" w:hAnsi="Arial Narrow"/>
                <w:sz w:val="24"/>
              </w:rPr>
              <w:t xml:space="preserve"> v čiernom prevedení. </w:t>
            </w:r>
            <w:r w:rsidRPr="00414C25">
              <w:rPr>
                <w:rFonts w:ascii="Arial Narrow" w:hAnsi="Arial Narrow"/>
                <w:sz w:val="24"/>
              </w:rPr>
              <w:t>Tento napájací panel bude namontovaný do 19” rámu</w:t>
            </w:r>
            <w:r>
              <w:rPr>
                <w:rFonts w:ascii="Arial Narrow" w:hAnsi="Arial Narrow"/>
                <w:sz w:val="24"/>
              </w:rPr>
              <w:t xml:space="preserve"> v ľavej technologickej skrini, ktorý bude</w:t>
            </w:r>
            <w:r w:rsidRPr="00414C25">
              <w:rPr>
                <w:rFonts w:ascii="Arial Narrow" w:hAnsi="Arial Narrow"/>
                <w:sz w:val="24"/>
              </w:rPr>
              <w:t xml:space="preserve"> napájaný pomocou vidlice 230V z </w:t>
            </w:r>
            <w:r>
              <w:rPr>
                <w:rFonts w:ascii="Arial Narrow" w:hAnsi="Arial Narrow"/>
                <w:sz w:val="24"/>
              </w:rPr>
              <w:t>ne</w:t>
            </w:r>
            <w:r w:rsidRPr="00414C25">
              <w:rPr>
                <w:rFonts w:ascii="Arial Narrow" w:hAnsi="Arial Narrow"/>
                <w:sz w:val="24"/>
              </w:rPr>
              <w:t xml:space="preserve">zálohovanej rozvodnej zásuvky 230V </w:t>
            </w:r>
            <w:r>
              <w:rPr>
                <w:rFonts w:ascii="Arial Narrow" w:hAnsi="Arial Narrow"/>
                <w:sz w:val="24"/>
              </w:rPr>
              <w:t>ne</w:t>
            </w:r>
            <w:r w:rsidRPr="00414C25">
              <w:rPr>
                <w:rFonts w:ascii="Arial Narrow" w:hAnsi="Arial Narrow"/>
                <w:sz w:val="24"/>
              </w:rPr>
              <w:t xml:space="preserve">zálohovaného okruhu. </w:t>
            </w:r>
          </w:p>
        </w:tc>
        <w:tc>
          <w:tcPr>
            <w:tcW w:w="2409" w:type="dxa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420AA5" w:rsidRPr="0079433A" w:rsidTr="00420AA5">
        <w:tc>
          <w:tcPr>
            <w:tcW w:w="567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420AA5" w:rsidRPr="00414C25" w:rsidRDefault="00420AA5" w:rsidP="00B03FBC">
            <w:pPr>
              <w:spacing w:before="100" w:beforeAutospacing="1" w:after="100" w:afterAutospacing="1"/>
              <w:contextualSpacing/>
              <w:jc w:val="left"/>
              <w:rPr>
                <w:rFonts w:ascii="Arial Narrow" w:hAnsi="Arial Narrow"/>
                <w:sz w:val="24"/>
              </w:rPr>
            </w:pPr>
            <w:r w:rsidRPr="00414C25">
              <w:rPr>
                <w:rFonts w:ascii="Arial Narrow" w:hAnsi="Arial Narrow"/>
                <w:sz w:val="24"/>
              </w:rPr>
              <w:t xml:space="preserve">Pult musí byť vybavený jedným napájacím panelom, určeným pre </w:t>
            </w:r>
            <w:r w:rsidRPr="00414C25">
              <w:rPr>
                <w:rFonts w:ascii="Arial Narrow" w:hAnsi="Arial Narrow"/>
                <w:sz w:val="24"/>
              </w:rPr>
              <w:lastRenderedPageBreak/>
              <w:t>zálohovaný okruh - 8x230V/19” 1U, ktorý bude v červenom prevedení. Tento napájací panel bude namontovaný do 19” rámu</w:t>
            </w:r>
            <w:r>
              <w:rPr>
                <w:rFonts w:ascii="Arial Narrow" w:hAnsi="Arial Narrow"/>
                <w:sz w:val="24"/>
              </w:rPr>
              <w:t xml:space="preserve"> v ľavej technologickej skrini pod napájací panel 5x230V 1.5U 19“, ktorý bude napájaný</w:t>
            </w:r>
            <w:r w:rsidRPr="00414C25">
              <w:rPr>
                <w:rFonts w:ascii="Arial Narrow" w:hAnsi="Arial Narrow"/>
                <w:sz w:val="24"/>
              </w:rPr>
              <w:t xml:space="preserve"> pomocou vidlice 230V zo zálohovanej rozvodnej zásuvky 230V zálohovaného okruhu. K zásuvkám 230V zálohovaného napájacieho panelu </w:t>
            </w:r>
            <w:r>
              <w:rPr>
                <w:rFonts w:ascii="Arial Narrow" w:hAnsi="Arial Narrow"/>
                <w:sz w:val="24"/>
              </w:rPr>
              <w:t>musia byť</w:t>
            </w:r>
            <w:r w:rsidRPr="00414C25">
              <w:rPr>
                <w:rFonts w:ascii="Arial Narrow" w:hAnsi="Arial Narrow"/>
                <w:sz w:val="24"/>
              </w:rPr>
              <w:t xml:space="preserve"> pripojené 4 monitory, napájanie náhlavnej súpravy, “ľahkí” klienti,</w:t>
            </w:r>
            <w:r>
              <w:rPr>
                <w:rFonts w:ascii="Arial Narrow" w:hAnsi="Arial Narrow"/>
                <w:sz w:val="24"/>
              </w:rPr>
              <w:t xml:space="preserve"> akustická jednotka a záložná rá</w:t>
            </w:r>
            <w:r w:rsidRPr="00414C25">
              <w:rPr>
                <w:rFonts w:ascii="Arial Narrow" w:hAnsi="Arial Narrow"/>
                <w:sz w:val="24"/>
              </w:rPr>
              <w:t>diostanica</w:t>
            </w:r>
          </w:p>
        </w:tc>
        <w:tc>
          <w:tcPr>
            <w:tcW w:w="2409" w:type="dxa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420AA5" w:rsidRPr="0079433A" w:rsidTr="00420AA5">
        <w:tc>
          <w:tcPr>
            <w:tcW w:w="567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420AA5" w:rsidRPr="00414C25" w:rsidRDefault="00420AA5" w:rsidP="00B03FBC">
            <w:pPr>
              <w:spacing w:before="100" w:beforeAutospacing="1" w:after="100" w:afterAutospacing="1"/>
              <w:contextualSpacing/>
              <w:jc w:val="left"/>
              <w:rPr>
                <w:rFonts w:ascii="Arial Narrow" w:hAnsi="Arial Narrow"/>
                <w:sz w:val="24"/>
              </w:rPr>
            </w:pPr>
            <w:r w:rsidRPr="00414C25">
              <w:rPr>
                <w:rFonts w:ascii="Arial Narrow" w:hAnsi="Arial Narrow"/>
                <w:sz w:val="24"/>
              </w:rPr>
              <w:t>Každý pult musí obsahovať jedno výklopné užívateľské prípojné miesto k elektrickej sieti prostredníctvom dvojzásuvky 230V, vytiahnuté na pracovnú plochu v dosahu operátora.</w:t>
            </w:r>
            <w:r w:rsidRPr="005D15E1">
              <w:rPr>
                <w:rFonts w:ascii="Arial Narrow" w:hAnsi="Arial Narrow"/>
                <w:b/>
                <w:i/>
                <w:sz w:val="24"/>
              </w:rPr>
              <w:t>.</w:t>
            </w:r>
            <w:r w:rsidRPr="00414C25">
              <w:rPr>
                <w:rFonts w:ascii="Arial Narrow" w:hAnsi="Arial Narrow"/>
                <w:sz w:val="24"/>
              </w:rPr>
              <w:t xml:space="preserve"> Napájanie užívateľskej dvojzásuvky pultu musí byť vykonané </w:t>
            </w:r>
            <w:r>
              <w:rPr>
                <w:rFonts w:ascii="Arial Narrow" w:hAnsi="Arial Narrow"/>
                <w:sz w:val="24"/>
              </w:rPr>
              <w:t xml:space="preserve">z napájacieho panela 5x230V 1.5U 19“ z nezálohovanej 230V zásuvky. </w:t>
            </w:r>
            <w:r w:rsidRPr="00414C25">
              <w:rPr>
                <w:rFonts w:ascii="Arial Narrow" w:hAnsi="Arial Narrow"/>
                <w:sz w:val="24"/>
              </w:rPr>
              <w:t xml:space="preserve">Užívateľské miesto </w:t>
            </w:r>
            <w:r>
              <w:rPr>
                <w:rFonts w:ascii="Arial Narrow" w:hAnsi="Arial Narrow"/>
                <w:sz w:val="24"/>
              </w:rPr>
              <w:t>musí ešte</w:t>
            </w:r>
            <w:r w:rsidRPr="00414C25">
              <w:rPr>
                <w:rFonts w:ascii="Arial Narrow" w:hAnsi="Arial Narrow"/>
                <w:sz w:val="24"/>
              </w:rPr>
              <w:t xml:space="preserve"> obsahovať 2x USB</w:t>
            </w:r>
            <w:r>
              <w:rPr>
                <w:rFonts w:ascii="Arial Narrow" w:hAnsi="Arial Narrow"/>
                <w:sz w:val="24"/>
              </w:rPr>
              <w:t>-nabíjacie</w:t>
            </w:r>
            <w:r w:rsidRPr="00414C25">
              <w:rPr>
                <w:rFonts w:ascii="Arial Narrow" w:hAnsi="Arial Narrow"/>
                <w:sz w:val="24"/>
              </w:rPr>
              <w:t xml:space="preserve"> a 1x RJ45 / 5</w:t>
            </w:r>
            <w:r>
              <w:rPr>
                <w:rFonts w:ascii="Arial Narrow" w:hAnsi="Arial Narrow"/>
                <w:sz w:val="24"/>
              </w:rPr>
              <w:t xml:space="preserve">. Výklopné užívateľské prípojné miesto bude umiestnené v zadnej, strednej časti pracovnej plochy. </w:t>
            </w:r>
          </w:p>
        </w:tc>
        <w:tc>
          <w:tcPr>
            <w:tcW w:w="2409" w:type="dxa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420AA5" w:rsidRPr="0079433A" w:rsidTr="00420AA5">
        <w:tc>
          <w:tcPr>
            <w:tcW w:w="567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420AA5" w:rsidRPr="00414C25" w:rsidRDefault="00420AA5" w:rsidP="00B03FBC">
            <w:pPr>
              <w:spacing w:before="100" w:beforeAutospacing="1" w:after="100" w:afterAutospacing="1"/>
              <w:contextualSpacing/>
              <w:jc w:val="left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414C25">
              <w:rPr>
                <w:rFonts w:ascii="Arial Narrow" w:hAnsi="Arial Narrow"/>
                <w:sz w:val="24"/>
              </w:rPr>
              <w:t xml:space="preserve">Pult </w:t>
            </w:r>
            <w:r>
              <w:rPr>
                <w:rFonts w:ascii="Arial Narrow" w:hAnsi="Arial Narrow"/>
                <w:sz w:val="24"/>
              </w:rPr>
              <w:t>musí</w:t>
            </w:r>
            <w:r w:rsidRPr="00414C25">
              <w:rPr>
                <w:rFonts w:ascii="Arial Narrow" w:hAnsi="Arial Narrow"/>
                <w:sz w:val="24"/>
              </w:rPr>
              <w:t xml:space="preserve"> obsahovať v technologickej časti pultu 1ks 24 portový patch panel, ktorý umožní budúcu montáž metalických aj optických káblov. Veľkosť 19"/ 1U</w:t>
            </w:r>
          </w:p>
        </w:tc>
        <w:tc>
          <w:tcPr>
            <w:tcW w:w="2409" w:type="dxa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420AA5" w:rsidRPr="0079433A" w:rsidTr="00420AA5">
        <w:tc>
          <w:tcPr>
            <w:tcW w:w="567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420AA5" w:rsidRPr="00414C25" w:rsidRDefault="00420AA5" w:rsidP="00B03FBC">
            <w:pPr>
              <w:spacing w:before="100" w:beforeAutospacing="1" w:after="100" w:afterAutospacing="1"/>
              <w:contextualSpacing/>
              <w:jc w:val="left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414C25">
              <w:rPr>
                <w:rFonts w:ascii="Arial Narrow" w:hAnsi="Arial Narrow"/>
                <w:sz w:val="24"/>
              </w:rPr>
              <w:t xml:space="preserve">Súčasťou pracovných pultov </w:t>
            </w:r>
            <w:r>
              <w:rPr>
                <w:rFonts w:ascii="Arial Narrow" w:hAnsi="Arial Narrow"/>
                <w:sz w:val="24"/>
              </w:rPr>
              <w:t>musí byť</w:t>
            </w:r>
            <w:r w:rsidRPr="00414C25">
              <w:rPr>
                <w:rFonts w:ascii="Arial Narrow" w:hAnsi="Arial Narrow"/>
                <w:sz w:val="24"/>
              </w:rPr>
              <w:t xml:space="preserve"> plechová výsuvná polica, ktorá bude namontovaná v 19" racku, minimálna hĺbka 300 mm</w:t>
            </w:r>
          </w:p>
        </w:tc>
        <w:tc>
          <w:tcPr>
            <w:tcW w:w="2409" w:type="dxa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420AA5" w:rsidRPr="0079433A" w:rsidTr="00420AA5">
        <w:tc>
          <w:tcPr>
            <w:tcW w:w="567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420AA5" w:rsidRPr="00E11261" w:rsidRDefault="00420AA5" w:rsidP="00BC7BC6">
            <w:pPr>
              <w:spacing w:before="100" w:beforeAutospacing="1" w:after="100" w:afterAutospacing="1"/>
              <w:contextualSpacing/>
              <w:jc w:val="left"/>
              <w:rPr>
                <w:rFonts w:ascii="Arial Narrow" w:hAnsi="Arial Narrow"/>
                <w:sz w:val="24"/>
              </w:rPr>
            </w:pPr>
            <w:r w:rsidRPr="00414C25">
              <w:rPr>
                <w:rFonts w:ascii="Arial Narrow" w:hAnsi="Arial Narrow"/>
                <w:sz w:val="24"/>
              </w:rPr>
              <w:t xml:space="preserve">Pracovný pult </w:t>
            </w:r>
            <w:r>
              <w:rPr>
                <w:rFonts w:ascii="Arial Narrow" w:hAnsi="Arial Narrow"/>
                <w:sz w:val="24"/>
              </w:rPr>
              <w:t>musí byť</w:t>
            </w:r>
            <w:r w:rsidRPr="00414C25">
              <w:rPr>
                <w:rFonts w:ascii="Arial Narrow" w:hAnsi="Arial Narrow"/>
                <w:sz w:val="24"/>
              </w:rPr>
              <w:t xml:space="preserve"> v rámci budúceho technologického vybavenia predpripravený na osadenie </w:t>
            </w:r>
            <w:r w:rsidR="00BC7BC6">
              <w:rPr>
                <w:rFonts w:ascii="Arial Narrow" w:hAnsi="Arial Narrow"/>
                <w:sz w:val="24"/>
              </w:rPr>
              <w:t>troch</w:t>
            </w:r>
            <w:r w:rsidRPr="00414C25">
              <w:rPr>
                <w:rFonts w:ascii="Arial Narrow" w:hAnsi="Arial Narrow"/>
                <w:sz w:val="24"/>
              </w:rPr>
              <w:t xml:space="preserve"> systémových LCD (LED) zobrazovacích jednotiek s maximálnou možnou uhlopriečkou 24" a pomerom strán 16:9</w:t>
            </w:r>
            <w:r>
              <w:rPr>
                <w:rFonts w:ascii="Arial Narrow" w:hAnsi="Arial Narrow"/>
                <w:sz w:val="24"/>
              </w:rPr>
              <w:t xml:space="preserve"> (ramená sú súčasťou dodávky)</w:t>
            </w:r>
            <w:r w:rsidRPr="00414C25">
              <w:rPr>
                <w:rFonts w:ascii="Arial Narrow" w:hAnsi="Arial Narrow"/>
                <w:sz w:val="24"/>
              </w:rPr>
              <w:t>.</w:t>
            </w:r>
            <w:r>
              <w:rPr>
                <w:rFonts w:ascii="Arial Narrow" w:hAnsi="Arial Narrow"/>
                <w:sz w:val="24"/>
              </w:rPr>
              <w:t xml:space="preserve"> Pracovný pult musí byť v rámci technologického vybavenia predpripravený na osadenie </w:t>
            </w:r>
            <w:r w:rsidR="00BC7BC6">
              <w:rPr>
                <w:rFonts w:ascii="Arial Narrow" w:hAnsi="Arial Narrow"/>
                <w:sz w:val="24"/>
              </w:rPr>
              <w:t>troch</w:t>
            </w:r>
            <w:r>
              <w:rPr>
                <w:rFonts w:ascii="Arial Narrow" w:hAnsi="Arial Narrow"/>
                <w:sz w:val="24"/>
              </w:rPr>
              <w:t xml:space="preserve"> systémových zobrazovacích jednotiek s maximálnou možnou uhlopriečkou 32“ a pomerom strán 16:9. </w:t>
            </w:r>
          </w:p>
        </w:tc>
        <w:tc>
          <w:tcPr>
            <w:tcW w:w="2409" w:type="dxa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420AA5" w:rsidRPr="0079433A" w:rsidTr="00420AA5">
        <w:tc>
          <w:tcPr>
            <w:tcW w:w="567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420AA5" w:rsidRPr="00414C25" w:rsidRDefault="00420AA5" w:rsidP="00B03FBC">
            <w:pPr>
              <w:spacing w:before="100" w:beforeAutospacing="1" w:after="100" w:afterAutospacing="1"/>
              <w:contextualSpacing/>
              <w:jc w:val="left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414C25">
              <w:rPr>
                <w:rFonts w:ascii="Arial Narrow" w:hAnsi="Arial Narrow"/>
                <w:sz w:val="24"/>
              </w:rPr>
              <w:t>Pracovná doska pultov musí byť z</w:t>
            </w:r>
            <w:r>
              <w:rPr>
                <w:rFonts w:ascii="Arial Narrow" w:hAnsi="Arial Narrow"/>
                <w:sz w:val="24"/>
              </w:rPr>
              <w:t xml:space="preserve"> DTD-drevotrieskovej dosky, </w:t>
            </w:r>
            <w:r w:rsidRPr="00414C25">
              <w:rPr>
                <w:rFonts w:ascii="Arial Narrow" w:hAnsi="Arial Narrow"/>
                <w:sz w:val="24"/>
              </w:rPr>
              <w:t xml:space="preserve">ktorého povrchová úprava bude vo farbe “jaseň”. Pracovná doska pultu musí </w:t>
            </w:r>
            <w:r w:rsidRPr="003C2610">
              <w:rPr>
                <w:rFonts w:ascii="Arial Narrow" w:hAnsi="Arial Narrow"/>
                <w:sz w:val="24"/>
              </w:rPr>
              <w:t xml:space="preserve">byť v hrúbke 25 mm. Predné hrany pracovnej dosky je </w:t>
            </w:r>
            <w:r w:rsidRPr="003C2610">
              <w:rPr>
                <w:rFonts w:ascii="Arial Narrow" w:hAnsi="Arial Narrow"/>
                <w:sz w:val="24"/>
              </w:rPr>
              <w:lastRenderedPageBreak/>
              <w:t>potrebné zakončiť ergonomickou hranou z tvrdeného polyuretánu hĺbky približne 40 mm, odtieň antracit.</w:t>
            </w:r>
          </w:p>
        </w:tc>
        <w:tc>
          <w:tcPr>
            <w:tcW w:w="2409" w:type="dxa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420AA5" w:rsidRPr="0079433A" w:rsidTr="00420AA5">
        <w:tc>
          <w:tcPr>
            <w:tcW w:w="567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420AA5" w:rsidRPr="00414C25" w:rsidRDefault="00420AA5" w:rsidP="00B03FBC">
            <w:pPr>
              <w:spacing w:before="100" w:beforeAutospacing="1" w:after="100" w:afterAutospacing="1"/>
              <w:contextualSpacing/>
              <w:jc w:val="left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Farba dosky – </w:t>
            </w:r>
            <w:r w:rsidRPr="00DD3E5C">
              <w:rPr>
                <w:rFonts w:ascii="Arial Narrow" w:hAnsi="Arial Narrow"/>
                <w:sz w:val="24"/>
              </w:rPr>
              <w:t>jaseň, dekor 454</w:t>
            </w:r>
          </w:p>
        </w:tc>
        <w:tc>
          <w:tcPr>
            <w:tcW w:w="2409" w:type="dxa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420AA5" w:rsidRPr="0079433A" w:rsidTr="00420AA5">
        <w:tc>
          <w:tcPr>
            <w:tcW w:w="567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420AA5" w:rsidRPr="00414C25" w:rsidRDefault="00420AA5" w:rsidP="00B03FBC">
            <w:pPr>
              <w:spacing w:before="100" w:beforeAutospacing="1" w:after="100" w:afterAutospacing="1"/>
              <w:contextualSpacing/>
              <w:jc w:val="left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414C25">
              <w:rPr>
                <w:rFonts w:ascii="Arial Narrow" w:hAnsi="Arial Narrow"/>
                <w:sz w:val="24"/>
              </w:rPr>
              <w:t>Celá doska musí byť vystužená masívnym oceľovým rámom a následne namontovaná na zdvíhací mechanizmus pultov. Nosnosť celej pracovnej dosky musí byť minimálne 150 kg. Pri vertikálnom pohybe nesmie dochádzať ku chveniu zobrazovacích jednotiek</w:t>
            </w:r>
          </w:p>
        </w:tc>
        <w:tc>
          <w:tcPr>
            <w:tcW w:w="2409" w:type="dxa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420AA5" w:rsidRPr="0079433A" w:rsidTr="00420AA5">
        <w:tc>
          <w:tcPr>
            <w:tcW w:w="567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420AA5" w:rsidRPr="00414C25" w:rsidRDefault="00420AA5" w:rsidP="00B03FBC">
            <w:pPr>
              <w:spacing w:before="100" w:beforeAutospacing="1" w:after="100" w:afterAutospacing="1"/>
              <w:contextualSpacing/>
              <w:jc w:val="left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414C25">
              <w:rPr>
                <w:rFonts w:ascii="Arial Narrow" w:hAnsi="Arial Narrow"/>
                <w:sz w:val="24"/>
              </w:rPr>
              <w:t xml:space="preserve">Tvar pracovnej plochy pultu musí obsluhe umožňovať dostatočný priestor pre prácu s tlačenou dokumentáciou. Doska </w:t>
            </w:r>
            <w:r>
              <w:rPr>
                <w:rFonts w:ascii="Arial Narrow" w:hAnsi="Arial Narrow"/>
                <w:sz w:val="24"/>
              </w:rPr>
              <w:t>musí byť</w:t>
            </w:r>
            <w:r w:rsidRPr="00414C25">
              <w:rPr>
                <w:rFonts w:ascii="Arial Narrow" w:hAnsi="Arial Narrow"/>
                <w:sz w:val="24"/>
              </w:rPr>
              <w:t xml:space="preserve"> v mieste operátora v osi stola mierne vytvarovaná do oblúka pre zlepšenie ergonómie pracoviska. Doska </w:t>
            </w:r>
            <w:r>
              <w:rPr>
                <w:rFonts w:ascii="Arial Narrow" w:hAnsi="Arial Narrow"/>
                <w:sz w:val="24"/>
              </w:rPr>
              <w:t>musí byť</w:t>
            </w:r>
            <w:r w:rsidRPr="00414C25">
              <w:rPr>
                <w:rFonts w:ascii="Arial Narrow" w:hAnsi="Arial Narrow"/>
                <w:sz w:val="24"/>
              </w:rPr>
              <w:t xml:space="preserve"> delená na prednú pracovnú a zadnú zníženú úložnú časť. Vertikálne uskočenie zadnej zníženej odkladacej úložnej plochy sa vyžaduje 100 mm. Tá sa využije pre montáž monitorov</w:t>
            </w:r>
            <w:r>
              <w:rPr>
                <w:rFonts w:ascii="Arial Narrow" w:hAnsi="Arial Narrow"/>
                <w:sz w:val="24"/>
              </w:rPr>
              <w:t xml:space="preserve">. Zadná znížená úložná časť musí byť vybavená 3x dierou na osadenie ramien cca v strede šírky (určí kupujúci na referenčnom pulte priamo na mieste). Dôvod: priblížiť obrazovky cca o 15-50 cm smerom k užívateľovi. </w:t>
            </w:r>
          </w:p>
        </w:tc>
        <w:tc>
          <w:tcPr>
            <w:tcW w:w="2409" w:type="dxa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420AA5" w:rsidRPr="0079433A" w:rsidTr="00420AA5">
        <w:tc>
          <w:tcPr>
            <w:tcW w:w="567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420AA5" w:rsidRPr="00414C25" w:rsidRDefault="00420AA5" w:rsidP="00B03FBC">
            <w:pPr>
              <w:spacing w:before="100" w:beforeAutospacing="1" w:after="100" w:afterAutospacing="1"/>
              <w:contextualSpacing/>
              <w:jc w:val="left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5D15E1">
              <w:rPr>
                <w:rFonts w:ascii="Arial Narrow" w:hAnsi="Arial Narrow"/>
                <w:sz w:val="24"/>
              </w:rPr>
              <w:t>Pracovná doska pultu bude osvetlená v troch osiach polohovateľnou LED lampou s možnosťou</w:t>
            </w:r>
            <w:r>
              <w:rPr>
                <w:rFonts w:ascii="Arial Narrow" w:hAnsi="Arial Narrow"/>
                <w:sz w:val="24"/>
              </w:rPr>
              <w:t xml:space="preserve"> regulácie intenzity osvetlenia </w:t>
            </w:r>
          </w:p>
        </w:tc>
        <w:tc>
          <w:tcPr>
            <w:tcW w:w="2409" w:type="dxa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420AA5" w:rsidRPr="0079433A" w:rsidTr="00420AA5">
        <w:tc>
          <w:tcPr>
            <w:tcW w:w="567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420AA5" w:rsidRPr="00414C25" w:rsidRDefault="00420AA5" w:rsidP="00B03FBC">
            <w:pPr>
              <w:spacing w:before="100" w:beforeAutospacing="1" w:after="100" w:afterAutospacing="1"/>
              <w:contextualSpacing/>
              <w:jc w:val="left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414C25">
              <w:rPr>
                <w:rFonts w:ascii="Arial Narrow" w:hAnsi="Arial Narrow"/>
                <w:sz w:val="24"/>
              </w:rPr>
              <w:t xml:space="preserve">Každé pracovisko môže obsahovať samostatné LED podsvietenie spodnej časti stola, ktoré bude plniť funkciu nepriameho osvetlenia a slúžiť na orientáciu pri príchode operátora na pracovisko. </w:t>
            </w:r>
            <w:r>
              <w:rPr>
                <w:rFonts w:ascii="Arial Narrow" w:hAnsi="Arial Narrow"/>
                <w:sz w:val="24"/>
              </w:rPr>
              <w:t>Požadovaná f</w:t>
            </w:r>
            <w:r w:rsidRPr="00BC3718">
              <w:rPr>
                <w:rFonts w:ascii="Arial Narrow" w:hAnsi="Arial Narrow"/>
                <w:sz w:val="24"/>
              </w:rPr>
              <w:t>arba osvetleni</w:t>
            </w:r>
            <w:r>
              <w:rPr>
                <w:rFonts w:ascii="Arial Narrow" w:hAnsi="Arial Narrow"/>
                <w:sz w:val="24"/>
              </w:rPr>
              <w:t>a:</w:t>
            </w:r>
            <w:r w:rsidRPr="00BC3718">
              <w:rPr>
                <w:rFonts w:ascii="Arial Narrow" w:hAnsi="Arial Narrow"/>
                <w:sz w:val="24"/>
              </w:rPr>
              <w:t xml:space="preserve"> studená biela</w:t>
            </w:r>
          </w:p>
        </w:tc>
        <w:tc>
          <w:tcPr>
            <w:tcW w:w="2409" w:type="dxa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420AA5" w:rsidRPr="0079433A" w:rsidTr="00420AA5">
        <w:tc>
          <w:tcPr>
            <w:tcW w:w="567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420AA5" w:rsidRPr="00414C25" w:rsidRDefault="00420AA5" w:rsidP="00B03FBC">
            <w:pPr>
              <w:spacing w:before="100" w:beforeAutospacing="1" w:after="100" w:afterAutospacing="1"/>
              <w:contextualSpacing/>
              <w:jc w:val="left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414C25">
              <w:rPr>
                <w:rFonts w:ascii="Arial Narrow" w:hAnsi="Arial Narrow"/>
                <w:sz w:val="24"/>
              </w:rPr>
              <w:t>V ľavej prednej časti pod pracovnou doskou musí byť namontovaný výsuvný mechanizmus - šuplík</w:t>
            </w:r>
          </w:p>
        </w:tc>
        <w:tc>
          <w:tcPr>
            <w:tcW w:w="2409" w:type="dxa"/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420AA5" w:rsidRPr="0079433A" w:rsidTr="00420AA5">
        <w:tc>
          <w:tcPr>
            <w:tcW w:w="567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20AA5" w:rsidRPr="0079433A" w:rsidRDefault="00420AA5" w:rsidP="00B03FB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420AA5" w:rsidRPr="00414C25" w:rsidRDefault="00420AA5" w:rsidP="00B03FBC">
            <w:pPr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414C25">
              <w:rPr>
                <w:rFonts w:ascii="Arial Narrow" w:hAnsi="Arial Narrow"/>
                <w:sz w:val="24"/>
              </w:rPr>
              <w:t>V pravej prednej časti pod pracov</w:t>
            </w:r>
            <w:r>
              <w:rPr>
                <w:rFonts w:ascii="Arial Narrow" w:hAnsi="Arial Narrow"/>
                <w:sz w:val="24"/>
              </w:rPr>
              <w:t xml:space="preserve">nou doskou musia byť namontovaná jendo-priehradková polička </w:t>
            </w:r>
            <w:r w:rsidRPr="00414C25">
              <w:rPr>
                <w:rFonts w:ascii="Arial Narrow" w:hAnsi="Arial Narrow"/>
                <w:sz w:val="24"/>
              </w:rPr>
              <w:t xml:space="preserve"> na uloženie dokumentov minimálne formátu A4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0AA5" w:rsidRPr="0079433A" w:rsidRDefault="00420AA5" w:rsidP="00B03FB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</w:tbl>
    <w:p w:rsidR="00420AA5" w:rsidRPr="00414C25" w:rsidRDefault="00420AA5" w:rsidP="00AA3509">
      <w:pPr>
        <w:pStyle w:val="Default"/>
        <w:jc w:val="both"/>
        <w:rPr>
          <w:rFonts w:ascii="Arial Narrow" w:hAnsi="Arial Narrow"/>
          <w:b/>
        </w:rPr>
      </w:pPr>
    </w:p>
    <w:p w:rsidR="00420AA5" w:rsidRPr="00414C25" w:rsidRDefault="00420AA5" w:rsidP="00420AA5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  <w:r w:rsidRPr="00414C25">
        <w:rPr>
          <w:rFonts w:ascii="Arial Narrow" w:hAnsi="Arial Narrow"/>
          <w:i/>
          <w:color w:val="000000"/>
          <w:sz w:val="24"/>
        </w:rPr>
        <w:t>Táto časť súťažných podkladov bude tvoriť neoddeliteľnú súčasť kúpnej zmluvy ako príloha č. 1, ktorú uzatvorí verejný obstarávateľ s úspešným uchádzačom.</w:t>
      </w:r>
    </w:p>
    <w:p w:rsidR="004D13A1" w:rsidRDefault="004D13A1" w:rsidP="00AA3509">
      <w:pPr>
        <w:pStyle w:val="Default"/>
        <w:jc w:val="both"/>
        <w:rPr>
          <w:rFonts w:ascii="Arial Narrow" w:hAnsi="Arial Narrow"/>
          <w:b/>
        </w:rPr>
      </w:pPr>
    </w:p>
    <w:p w:rsidR="00F0729E" w:rsidRDefault="00AE30A0" w:rsidP="004D13A1">
      <w:pPr>
        <w:rPr>
          <w:rFonts w:ascii="Arial Narrow" w:hAnsi="Arial Narrow"/>
          <w:color w:val="000000"/>
          <w:sz w:val="24"/>
        </w:rPr>
      </w:pPr>
      <w:r>
        <w:rPr>
          <w:rFonts w:ascii="Arial Narrow" w:hAnsi="Arial Narrow"/>
          <w:color w:val="000000"/>
          <w:sz w:val="24"/>
        </w:rPr>
        <w:t xml:space="preserve">Ilustračný obrázok </w:t>
      </w:r>
      <w:r w:rsidR="00FE287B">
        <w:rPr>
          <w:rFonts w:ascii="Arial Narrow" w:hAnsi="Arial Narrow"/>
          <w:color w:val="000000"/>
          <w:sz w:val="24"/>
        </w:rPr>
        <w:t>položky č. 1 – Pracovný pult</w:t>
      </w:r>
    </w:p>
    <w:p w:rsidR="00420AA5" w:rsidRPr="000E0C29" w:rsidRDefault="00420AA5" w:rsidP="00420AA5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color w:val="000000"/>
          <w:sz w:val="24"/>
          <w:highlight w:val="yellow"/>
        </w:rPr>
      </w:pPr>
    </w:p>
    <w:p w:rsidR="00AE30A0" w:rsidRDefault="00FE287B" w:rsidP="00420AA5">
      <w:pPr>
        <w:rPr>
          <w:rFonts w:ascii="Arial Narrow" w:hAnsi="Arial Narrow"/>
          <w:b/>
          <w:color w:val="000000"/>
          <w:sz w:val="24"/>
        </w:rPr>
        <w:sectPr w:rsidR="00AE30A0" w:rsidSect="00420AA5">
          <w:pgSz w:w="16838" w:h="11906" w:orient="landscape"/>
          <w:pgMar w:top="1418" w:right="1247" w:bottom="1418" w:left="1247" w:header="567" w:footer="567" w:gutter="0"/>
          <w:cols w:space="708"/>
          <w:docGrid w:linePitch="360"/>
        </w:sectPr>
      </w:pPr>
      <w:r>
        <w:rPr>
          <w:rFonts w:ascii="Arial Narrow" w:hAnsi="Arial Narrow"/>
          <w:b/>
          <w:noProof/>
          <w:color w:val="000000"/>
          <w:sz w:val="24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3810</wp:posOffset>
            </wp:positionV>
            <wp:extent cx="5829300" cy="4373880"/>
            <wp:effectExtent l="19050" t="0" r="0" b="0"/>
            <wp:wrapNone/>
            <wp:docPr id="3" name="Obrázok 3" descr="C:\Users\somorovska2726331\AppData\Local\Microsoft\Windows\Temporary Internet Files\Content.Outlook\LPUDU0XA\pracovný p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morovska2726331\AppData\Local\Microsoft\Windows\Temporary Internet Files\Content.Outlook\LPUDU0XA\pracovný pul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1D3D" w:rsidRPr="00FE287B" w:rsidRDefault="00B51D3D" w:rsidP="00B51D3D">
      <w:pPr>
        <w:tabs>
          <w:tab w:val="left" w:pos="567"/>
          <w:tab w:val="center" w:pos="1701"/>
          <w:tab w:val="center" w:pos="5670"/>
        </w:tabs>
        <w:spacing w:after="60" w:line="276" w:lineRule="auto"/>
        <w:rPr>
          <w:rFonts w:ascii="Arial Narrow" w:eastAsia="Microsoft Sans Serif" w:hAnsi="Arial Narrow"/>
          <w:color w:val="000000"/>
          <w:sz w:val="24"/>
          <w:u w:val="single"/>
        </w:rPr>
      </w:pPr>
      <w:r w:rsidRPr="00FE287B">
        <w:rPr>
          <w:rFonts w:ascii="Arial Narrow" w:eastAsia="Microsoft Sans Serif" w:hAnsi="Arial Narrow"/>
          <w:color w:val="000000"/>
          <w:sz w:val="24"/>
          <w:u w:val="single"/>
        </w:rPr>
        <w:lastRenderedPageBreak/>
        <w:t>OSTATNÉ POŽIADAVKY NA PREDMET ZÁKAZKY</w:t>
      </w:r>
    </w:p>
    <w:p w:rsidR="00B51D3D" w:rsidRPr="00FE287B" w:rsidRDefault="00B51D3D" w:rsidP="00B51D3D">
      <w:pPr>
        <w:numPr>
          <w:ilvl w:val="0"/>
          <w:numId w:val="17"/>
        </w:numPr>
        <w:tabs>
          <w:tab w:val="left" w:pos="708"/>
          <w:tab w:val="left" w:pos="2160"/>
          <w:tab w:val="left" w:pos="2880"/>
          <w:tab w:val="left" w:pos="4500"/>
        </w:tabs>
        <w:spacing w:after="60" w:line="276" w:lineRule="auto"/>
        <w:rPr>
          <w:rFonts w:ascii="Arial Narrow" w:eastAsia="Microsoft Sans Serif" w:hAnsi="Arial Narrow"/>
          <w:color w:val="000000"/>
          <w:sz w:val="24"/>
        </w:rPr>
      </w:pPr>
      <w:r w:rsidRPr="00FE287B">
        <w:rPr>
          <w:rFonts w:ascii="Arial Narrow" w:eastAsia="Microsoft Sans Serif" w:hAnsi="Arial Narrow" w:cs="Arial"/>
          <w:color w:val="000000"/>
          <w:sz w:val="24"/>
        </w:rPr>
        <w:t xml:space="preserve">Súčasťou ponuky musí byť vlastný návrh plnenia, ktorý ponúka uchádzač v rámci tejto konkrétnej zákazky. V prílohe uchádzač uvedie presnú špecifikáciu ponúkaného tovaru, </w:t>
      </w:r>
      <w:r w:rsidRPr="00FE287B">
        <w:rPr>
          <w:rFonts w:ascii="Arial Narrow" w:eastAsia="Microsoft Sans Serif" w:hAnsi="Arial Narrow"/>
          <w:color w:val="000000"/>
          <w:sz w:val="24"/>
        </w:rPr>
        <w:t>tak aby verejný obstarávateľ mohol vyhodnotiť, či ponúkaný tovar spĺňa všetky požiadavky požadované verejným obstarávateľom.</w:t>
      </w:r>
    </w:p>
    <w:p w:rsidR="00B51D3D" w:rsidRPr="00FE287B" w:rsidRDefault="00B51D3D" w:rsidP="00B51D3D">
      <w:pPr>
        <w:pStyle w:val="Odsekzoznamu"/>
        <w:numPr>
          <w:ilvl w:val="0"/>
          <w:numId w:val="17"/>
        </w:numPr>
        <w:tabs>
          <w:tab w:val="left" w:pos="708"/>
        </w:tabs>
        <w:spacing w:after="60" w:line="276" w:lineRule="auto"/>
        <w:rPr>
          <w:rFonts w:ascii="Arial Narrow" w:eastAsia="Microsoft Sans Serif" w:hAnsi="Arial Narrow"/>
          <w:color w:val="000000"/>
          <w:sz w:val="24"/>
        </w:rPr>
      </w:pPr>
      <w:r w:rsidRPr="00FE287B">
        <w:rPr>
          <w:rFonts w:ascii="Arial Narrow" w:eastAsia="Microsoft Sans Serif" w:hAnsi="Arial Narrow"/>
          <w:color w:val="000000"/>
          <w:sz w:val="24"/>
        </w:rPr>
        <w:t>Verejný obstarávateľ požaduje predložiť vlastný návrh plnenia v štruktúre podľa vzoru/tabuľky/ uvedenom v tomto dokumente, časť vzor-  vlastného návrhu plnenia</w:t>
      </w:r>
    </w:p>
    <w:p w:rsidR="00B51D3D" w:rsidRPr="00FE287B" w:rsidRDefault="00B51D3D" w:rsidP="00B51D3D">
      <w:pPr>
        <w:pStyle w:val="Odsekzoznamu"/>
        <w:numPr>
          <w:ilvl w:val="0"/>
          <w:numId w:val="17"/>
        </w:numPr>
        <w:tabs>
          <w:tab w:val="left" w:pos="708"/>
        </w:tabs>
        <w:spacing w:after="60" w:line="276" w:lineRule="auto"/>
        <w:rPr>
          <w:rFonts w:ascii="Arial Narrow" w:eastAsia="Microsoft Sans Serif" w:hAnsi="Arial Narrow"/>
          <w:color w:val="000000"/>
          <w:sz w:val="24"/>
        </w:rPr>
      </w:pPr>
      <w:r w:rsidRPr="00FE287B">
        <w:rPr>
          <w:rFonts w:ascii="Arial Narrow" w:eastAsia="Microsoft Sans Serif" w:hAnsi="Arial Narrow"/>
          <w:sz w:val="24"/>
        </w:rPr>
        <w:t>Verejný obstarávateľ požaduje predložiť v rámci ponuky:</w:t>
      </w:r>
    </w:p>
    <w:p w:rsidR="00AE30A0" w:rsidRPr="00FE287B" w:rsidRDefault="00AE30A0" w:rsidP="00AE30A0">
      <w:pPr>
        <w:pStyle w:val="Odsekzoznamu"/>
        <w:numPr>
          <w:ilvl w:val="1"/>
          <w:numId w:val="17"/>
        </w:numPr>
        <w:tabs>
          <w:tab w:val="left" w:pos="708"/>
        </w:tabs>
        <w:spacing w:after="60" w:line="276" w:lineRule="auto"/>
        <w:rPr>
          <w:rFonts w:ascii="Arial Narrow" w:eastAsia="Microsoft Sans Serif" w:hAnsi="Arial Narrow"/>
          <w:color w:val="000000"/>
          <w:sz w:val="24"/>
        </w:rPr>
      </w:pPr>
      <w:r w:rsidRPr="00FE287B">
        <w:rPr>
          <w:rFonts w:ascii="Arial Narrow" w:eastAsia="Microsoft Sans Serif" w:hAnsi="Arial Narrow"/>
          <w:sz w:val="24"/>
        </w:rPr>
        <w:t xml:space="preserve">obrázkovú prílohu predmetu </w:t>
      </w:r>
      <w:r w:rsidR="00033DEA" w:rsidRPr="00FE287B">
        <w:rPr>
          <w:rFonts w:ascii="Arial Narrow" w:eastAsia="Microsoft Sans Serif" w:hAnsi="Arial Narrow"/>
          <w:sz w:val="24"/>
        </w:rPr>
        <w:t>zákazky, ktorá musí pozostávať z</w:t>
      </w:r>
      <w:r w:rsidRPr="00FE287B">
        <w:rPr>
          <w:rFonts w:ascii="Arial Narrow" w:eastAsia="Microsoft Sans Serif" w:hAnsi="Arial Narrow"/>
          <w:sz w:val="24"/>
        </w:rPr>
        <w:t> náčrtu rozmerov, vizualizácie bez rozmerov a popisu mechanizmu pracovných pultov</w:t>
      </w:r>
      <w:r w:rsidR="00397216">
        <w:rPr>
          <w:rFonts w:ascii="Arial Narrow" w:eastAsia="Microsoft Sans Serif" w:hAnsi="Arial Narrow"/>
          <w:sz w:val="24"/>
        </w:rPr>
        <w:t>.</w:t>
      </w:r>
    </w:p>
    <w:p w:rsidR="00AE30A0" w:rsidRPr="00FE287B" w:rsidRDefault="00AE30A0" w:rsidP="00AE30A0">
      <w:pPr>
        <w:pStyle w:val="Odsekzoznamu"/>
        <w:tabs>
          <w:tab w:val="left" w:pos="709"/>
        </w:tabs>
        <w:spacing w:line="276" w:lineRule="auto"/>
        <w:ind w:left="720"/>
        <w:rPr>
          <w:rFonts w:ascii="Arial Narrow" w:hAnsi="Arial Narrow"/>
          <w:sz w:val="24"/>
        </w:rPr>
      </w:pPr>
    </w:p>
    <w:p w:rsidR="00B51D3D" w:rsidRPr="00001DEE" w:rsidRDefault="00B51D3D" w:rsidP="00F0729E">
      <w:pPr>
        <w:tabs>
          <w:tab w:val="left" w:pos="567"/>
          <w:tab w:val="center" w:pos="1701"/>
          <w:tab w:val="center" w:pos="5670"/>
        </w:tabs>
        <w:spacing w:after="60" w:line="276" w:lineRule="auto"/>
        <w:rPr>
          <w:rFonts w:ascii="Arial Narrow" w:hAnsi="Arial Narrow"/>
          <w:sz w:val="24"/>
        </w:rPr>
      </w:pPr>
      <w:r w:rsidRPr="00FE287B">
        <w:rPr>
          <w:rFonts w:ascii="Arial Narrow" w:hAnsi="Arial Narrow"/>
          <w:sz w:val="24"/>
        </w:rPr>
        <w:t>Všetky uvedené dokumenty musia byť predložené v slovenskom jazyku (akceptovateľný je aj český jazyk). Úradný preklad do slovenského jazyka sa nevyžaduje.</w:t>
      </w:r>
    </w:p>
    <w:p w:rsidR="00AE30A0" w:rsidRPr="00001DEE" w:rsidRDefault="00AE30A0" w:rsidP="00F0729E">
      <w:pPr>
        <w:tabs>
          <w:tab w:val="left" w:pos="567"/>
          <w:tab w:val="center" w:pos="1701"/>
          <w:tab w:val="center" w:pos="5670"/>
        </w:tabs>
        <w:spacing w:after="60" w:line="276" w:lineRule="auto"/>
        <w:rPr>
          <w:rFonts w:ascii="Arial Narrow" w:hAnsi="Arial Narrow"/>
          <w:sz w:val="24"/>
        </w:rPr>
      </w:pPr>
    </w:p>
    <w:p w:rsidR="00AE30A0" w:rsidRDefault="00AE30A0" w:rsidP="00F0729E">
      <w:pPr>
        <w:tabs>
          <w:tab w:val="left" w:pos="567"/>
          <w:tab w:val="center" w:pos="1701"/>
          <w:tab w:val="center" w:pos="5670"/>
        </w:tabs>
        <w:spacing w:after="60" w:line="276" w:lineRule="auto"/>
        <w:rPr>
          <w:rFonts w:ascii="Arial Narrow" w:hAnsi="Arial Narrow"/>
          <w:sz w:val="22"/>
          <w:szCs w:val="22"/>
        </w:rPr>
      </w:pPr>
    </w:p>
    <w:p w:rsidR="00AE30A0" w:rsidRDefault="00AE30A0" w:rsidP="00F0729E">
      <w:pPr>
        <w:tabs>
          <w:tab w:val="left" w:pos="567"/>
          <w:tab w:val="center" w:pos="1701"/>
          <w:tab w:val="center" w:pos="5670"/>
        </w:tabs>
        <w:spacing w:after="60" w:line="276" w:lineRule="auto"/>
        <w:rPr>
          <w:rFonts w:ascii="Arial Narrow" w:hAnsi="Arial Narrow"/>
          <w:sz w:val="22"/>
          <w:szCs w:val="22"/>
        </w:rPr>
      </w:pPr>
    </w:p>
    <w:p w:rsidR="00AE30A0" w:rsidRDefault="00AE30A0" w:rsidP="00F0729E">
      <w:pPr>
        <w:tabs>
          <w:tab w:val="left" w:pos="567"/>
          <w:tab w:val="center" w:pos="1701"/>
          <w:tab w:val="center" w:pos="5670"/>
        </w:tabs>
        <w:spacing w:after="60" w:line="276" w:lineRule="auto"/>
        <w:rPr>
          <w:rFonts w:ascii="Arial Narrow" w:hAnsi="Arial Narrow"/>
          <w:sz w:val="22"/>
          <w:szCs w:val="22"/>
        </w:rPr>
      </w:pPr>
    </w:p>
    <w:p w:rsidR="00AE30A0" w:rsidRDefault="00AE30A0" w:rsidP="00F0729E">
      <w:pPr>
        <w:tabs>
          <w:tab w:val="left" w:pos="567"/>
          <w:tab w:val="center" w:pos="1701"/>
          <w:tab w:val="center" w:pos="5670"/>
        </w:tabs>
        <w:spacing w:after="60" w:line="276" w:lineRule="auto"/>
        <w:rPr>
          <w:rFonts w:ascii="Arial Narrow" w:hAnsi="Arial Narrow"/>
          <w:sz w:val="22"/>
          <w:szCs w:val="22"/>
        </w:rPr>
      </w:pPr>
    </w:p>
    <w:p w:rsidR="00AE30A0" w:rsidRDefault="00AE30A0" w:rsidP="00F0729E">
      <w:pPr>
        <w:tabs>
          <w:tab w:val="left" w:pos="567"/>
          <w:tab w:val="center" w:pos="1701"/>
          <w:tab w:val="center" w:pos="5670"/>
        </w:tabs>
        <w:spacing w:after="60" w:line="276" w:lineRule="auto"/>
        <w:rPr>
          <w:rFonts w:ascii="Arial Narrow" w:hAnsi="Arial Narrow"/>
          <w:sz w:val="22"/>
          <w:szCs w:val="22"/>
        </w:rPr>
      </w:pPr>
    </w:p>
    <w:p w:rsidR="00AE30A0" w:rsidRDefault="00AE30A0" w:rsidP="00F0729E">
      <w:pPr>
        <w:tabs>
          <w:tab w:val="left" w:pos="567"/>
          <w:tab w:val="center" w:pos="1701"/>
          <w:tab w:val="center" w:pos="5670"/>
        </w:tabs>
        <w:spacing w:after="60" w:line="276" w:lineRule="auto"/>
        <w:rPr>
          <w:rFonts w:ascii="Arial Narrow" w:hAnsi="Arial Narrow"/>
          <w:sz w:val="22"/>
          <w:szCs w:val="22"/>
        </w:rPr>
      </w:pPr>
    </w:p>
    <w:p w:rsidR="00AE30A0" w:rsidRDefault="00AE30A0" w:rsidP="00F0729E">
      <w:pPr>
        <w:tabs>
          <w:tab w:val="left" w:pos="567"/>
          <w:tab w:val="center" w:pos="1701"/>
          <w:tab w:val="center" w:pos="5670"/>
        </w:tabs>
        <w:spacing w:after="60" w:line="276" w:lineRule="auto"/>
        <w:rPr>
          <w:rFonts w:ascii="Arial Narrow" w:hAnsi="Arial Narrow"/>
          <w:sz w:val="22"/>
          <w:szCs w:val="22"/>
        </w:rPr>
      </w:pPr>
    </w:p>
    <w:p w:rsidR="00AE30A0" w:rsidRDefault="00AE30A0" w:rsidP="00F0729E">
      <w:pPr>
        <w:tabs>
          <w:tab w:val="left" w:pos="567"/>
          <w:tab w:val="center" w:pos="1701"/>
          <w:tab w:val="center" w:pos="5670"/>
        </w:tabs>
        <w:spacing w:after="60" w:line="276" w:lineRule="auto"/>
        <w:rPr>
          <w:rFonts w:ascii="Arial Narrow" w:hAnsi="Arial Narrow"/>
          <w:sz w:val="22"/>
          <w:szCs w:val="22"/>
        </w:rPr>
      </w:pPr>
    </w:p>
    <w:p w:rsidR="00AE30A0" w:rsidRDefault="00AE30A0" w:rsidP="00F0729E">
      <w:pPr>
        <w:tabs>
          <w:tab w:val="left" w:pos="567"/>
          <w:tab w:val="center" w:pos="1701"/>
          <w:tab w:val="center" w:pos="5670"/>
        </w:tabs>
        <w:spacing w:after="60" w:line="276" w:lineRule="auto"/>
        <w:rPr>
          <w:rFonts w:ascii="Arial Narrow" w:hAnsi="Arial Narrow"/>
          <w:sz w:val="22"/>
          <w:szCs w:val="22"/>
        </w:rPr>
      </w:pPr>
    </w:p>
    <w:p w:rsidR="00AE30A0" w:rsidRDefault="00AE30A0" w:rsidP="00F0729E">
      <w:pPr>
        <w:tabs>
          <w:tab w:val="left" w:pos="567"/>
          <w:tab w:val="center" w:pos="1701"/>
          <w:tab w:val="center" w:pos="5670"/>
        </w:tabs>
        <w:spacing w:after="60" w:line="276" w:lineRule="auto"/>
        <w:rPr>
          <w:rFonts w:ascii="Arial Narrow" w:hAnsi="Arial Narrow"/>
          <w:sz w:val="22"/>
          <w:szCs w:val="22"/>
        </w:rPr>
      </w:pPr>
    </w:p>
    <w:p w:rsidR="00AE30A0" w:rsidRDefault="00AE30A0" w:rsidP="00F0729E">
      <w:pPr>
        <w:tabs>
          <w:tab w:val="left" w:pos="567"/>
          <w:tab w:val="center" w:pos="1701"/>
          <w:tab w:val="center" w:pos="5670"/>
        </w:tabs>
        <w:spacing w:after="60" w:line="276" w:lineRule="auto"/>
        <w:rPr>
          <w:rFonts w:ascii="Arial Narrow" w:hAnsi="Arial Narrow"/>
          <w:sz w:val="22"/>
          <w:szCs w:val="22"/>
        </w:rPr>
      </w:pPr>
    </w:p>
    <w:p w:rsidR="00AE30A0" w:rsidRDefault="00AE30A0" w:rsidP="00F0729E">
      <w:pPr>
        <w:tabs>
          <w:tab w:val="left" w:pos="567"/>
          <w:tab w:val="center" w:pos="1701"/>
          <w:tab w:val="center" w:pos="5670"/>
        </w:tabs>
        <w:spacing w:after="60" w:line="276" w:lineRule="auto"/>
        <w:rPr>
          <w:rFonts w:ascii="Arial Narrow" w:hAnsi="Arial Narrow"/>
          <w:sz w:val="22"/>
          <w:szCs w:val="22"/>
        </w:rPr>
      </w:pPr>
    </w:p>
    <w:p w:rsidR="00AE30A0" w:rsidRDefault="00AE30A0" w:rsidP="00F0729E">
      <w:pPr>
        <w:tabs>
          <w:tab w:val="left" w:pos="567"/>
          <w:tab w:val="center" w:pos="1701"/>
          <w:tab w:val="center" w:pos="5670"/>
        </w:tabs>
        <w:spacing w:after="60" w:line="276" w:lineRule="auto"/>
        <w:rPr>
          <w:rFonts w:ascii="Arial Narrow" w:hAnsi="Arial Narrow"/>
          <w:sz w:val="22"/>
          <w:szCs w:val="22"/>
        </w:rPr>
      </w:pPr>
    </w:p>
    <w:p w:rsidR="00AE30A0" w:rsidRDefault="00AE30A0" w:rsidP="00F0729E">
      <w:pPr>
        <w:tabs>
          <w:tab w:val="left" w:pos="567"/>
          <w:tab w:val="center" w:pos="1701"/>
          <w:tab w:val="center" w:pos="5670"/>
        </w:tabs>
        <w:spacing w:after="60" w:line="276" w:lineRule="auto"/>
        <w:rPr>
          <w:rFonts w:ascii="Arial Narrow" w:hAnsi="Arial Narrow"/>
          <w:sz w:val="22"/>
          <w:szCs w:val="22"/>
        </w:rPr>
      </w:pPr>
    </w:p>
    <w:p w:rsidR="003C2610" w:rsidRDefault="003C2610" w:rsidP="00F0729E">
      <w:pPr>
        <w:tabs>
          <w:tab w:val="left" w:pos="567"/>
          <w:tab w:val="center" w:pos="1701"/>
          <w:tab w:val="center" w:pos="5670"/>
        </w:tabs>
        <w:spacing w:after="60" w:line="276" w:lineRule="auto"/>
        <w:rPr>
          <w:rFonts w:ascii="Arial Narrow" w:hAnsi="Arial Narrow"/>
          <w:sz w:val="22"/>
          <w:szCs w:val="22"/>
        </w:rPr>
      </w:pPr>
    </w:p>
    <w:p w:rsidR="003C2610" w:rsidRDefault="003C2610" w:rsidP="00F0729E">
      <w:pPr>
        <w:tabs>
          <w:tab w:val="left" w:pos="567"/>
          <w:tab w:val="center" w:pos="1701"/>
          <w:tab w:val="center" w:pos="5670"/>
        </w:tabs>
        <w:spacing w:after="60" w:line="276" w:lineRule="auto"/>
        <w:rPr>
          <w:rFonts w:ascii="Arial Narrow" w:hAnsi="Arial Narrow"/>
          <w:sz w:val="22"/>
          <w:szCs w:val="22"/>
        </w:rPr>
      </w:pPr>
    </w:p>
    <w:p w:rsidR="003C2610" w:rsidRDefault="003C2610" w:rsidP="00F0729E">
      <w:pPr>
        <w:tabs>
          <w:tab w:val="left" w:pos="567"/>
          <w:tab w:val="center" w:pos="1701"/>
          <w:tab w:val="center" w:pos="5670"/>
        </w:tabs>
        <w:spacing w:after="60" w:line="276" w:lineRule="auto"/>
        <w:rPr>
          <w:rFonts w:ascii="Arial Narrow" w:hAnsi="Arial Narrow"/>
          <w:sz w:val="22"/>
          <w:szCs w:val="22"/>
        </w:rPr>
      </w:pPr>
    </w:p>
    <w:p w:rsidR="003C2610" w:rsidRDefault="003C2610" w:rsidP="00F0729E">
      <w:pPr>
        <w:tabs>
          <w:tab w:val="left" w:pos="567"/>
          <w:tab w:val="center" w:pos="1701"/>
          <w:tab w:val="center" w:pos="5670"/>
        </w:tabs>
        <w:spacing w:after="60" w:line="276" w:lineRule="auto"/>
        <w:rPr>
          <w:rFonts w:ascii="Arial Narrow" w:hAnsi="Arial Narrow"/>
          <w:sz w:val="22"/>
          <w:szCs w:val="22"/>
        </w:rPr>
      </w:pPr>
    </w:p>
    <w:p w:rsidR="003C2610" w:rsidRDefault="003C2610" w:rsidP="00F0729E">
      <w:pPr>
        <w:tabs>
          <w:tab w:val="left" w:pos="567"/>
          <w:tab w:val="center" w:pos="1701"/>
          <w:tab w:val="center" w:pos="5670"/>
        </w:tabs>
        <w:spacing w:after="60" w:line="276" w:lineRule="auto"/>
        <w:rPr>
          <w:rFonts w:ascii="Arial Narrow" w:hAnsi="Arial Narrow"/>
          <w:sz w:val="22"/>
          <w:szCs w:val="22"/>
        </w:rPr>
      </w:pPr>
    </w:p>
    <w:p w:rsidR="003C2610" w:rsidRDefault="003C2610" w:rsidP="00F0729E">
      <w:pPr>
        <w:tabs>
          <w:tab w:val="left" w:pos="567"/>
          <w:tab w:val="center" w:pos="1701"/>
          <w:tab w:val="center" w:pos="5670"/>
        </w:tabs>
        <w:spacing w:after="60" w:line="276" w:lineRule="auto"/>
        <w:rPr>
          <w:rFonts w:ascii="Arial Narrow" w:hAnsi="Arial Narrow"/>
          <w:sz w:val="22"/>
          <w:szCs w:val="22"/>
        </w:rPr>
      </w:pPr>
    </w:p>
    <w:p w:rsidR="00001DEE" w:rsidRDefault="00001DEE" w:rsidP="00F0729E">
      <w:pPr>
        <w:tabs>
          <w:tab w:val="left" w:pos="567"/>
          <w:tab w:val="center" w:pos="1701"/>
          <w:tab w:val="center" w:pos="5670"/>
        </w:tabs>
        <w:spacing w:after="60" w:line="276" w:lineRule="auto"/>
        <w:rPr>
          <w:rFonts w:ascii="Arial Narrow" w:hAnsi="Arial Narrow"/>
          <w:sz w:val="22"/>
          <w:szCs w:val="22"/>
        </w:rPr>
      </w:pPr>
    </w:p>
    <w:p w:rsidR="00AE30A0" w:rsidRDefault="00AE30A0" w:rsidP="00F0729E">
      <w:pPr>
        <w:tabs>
          <w:tab w:val="left" w:pos="567"/>
          <w:tab w:val="center" w:pos="1701"/>
          <w:tab w:val="center" w:pos="5670"/>
        </w:tabs>
        <w:spacing w:after="60" w:line="276" w:lineRule="auto"/>
        <w:rPr>
          <w:rFonts w:ascii="Arial Narrow" w:hAnsi="Arial Narrow"/>
          <w:sz w:val="22"/>
          <w:szCs w:val="22"/>
        </w:rPr>
      </w:pPr>
    </w:p>
    <w:sectPr w:rsidR="00AE30A0" w:rsidSect="00420AA5">
      <w:pgSz w:w="11906" w:h="16838"/>
      <w:pgMar w:top="1247" w:right="1418" w:bottom="1247" w:left="1418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8A055C2" w15:done="0"/>
  <w15:commentEx w15:paraId="5AC2FB86" w15:done="0"/>
  <w15:commentEx w15:paraId="0875185E" w15:done="0"/>
  <w15:commentEx w15:paraId="06DC9CB9" w15:done="0"/>
  <w15:commentEx w15:paraId="3E72592C" w15:done="0"/>
  <w15:commentEx w15:paraId="58D1D38B" w15:done="0"/>
  <w15:commentEx w15:paraId="400206E3" w15:done="0"/>
  <w15:commentEx w15:paraId="7D0AB0E6" w15:done="0"/>
  <w15:commentEx w15:paraId="252A66C1" w15:done="0"/>
  <w15:commentEx w15:paraId="247C79F5" w15:done="0"/>
  <w15:commentEx w15:paraId="48D86FB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DA9" w:rsidRDefault="00631DA9" w:rsidP="007F0D4C">
      <w:r>
        <w:separator/>
      </w:r>
    </w:p>
  </w:endnote>
  <w:endnote w:type="continuationSeparator" w:id="1">
    <w:p w:rsidR="00631DA9" w:rsidRDefault="00631DA9" w:rsidP="007F0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DA9" w:rsidRDefault="00631DA9" w:rsidP="007F0D4C">
      <w:r>
        <w:separator/>
      </w:r>
    </w:p>
  </w:footnote>
  <w:footnote w:type="continuationSeparator" w:id="1">
    <w:p w:rsidR="00631DA9" w:rsidRDefault="00631DA9" w:rsidP="007F0D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9E" w:rsidRDefault="00F0729E" w:rsidP="00F0729E">
    <w:pPr>
      <w:pStyle w:val="Hlavika"/>
      <w:tabs>
        <w:tab w:val="clear" w:pos="4536"/>
        <w:tab w:val="clear" w:pos="9072"/>
        <w:tab w:val="left" w:pos="174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00FB570D"/>
    <w:multiLevelType w:val="hybridMultilevel"/>
    <w:tmpl w:val="24E4C0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D77FB"/>
    <w:multiLevelType w:val="hybridMultilevel"/>
    <w:tmpl w:val="5C74532E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86AA7"/>
    <w:multiLevelType w:val="hybridMultilevel"/>
    <w:tmpl w:val="920AF012"/>
    <w:lvl w:ilvl="0" w:tplc="DC14779C">
      <w:numFmt w:val="bullet"/>
      <w:lvlText w:val="-"/>
      <w:lvlJc w:val="left"/>
      <w:pPr>
        <w:ind w:left="1222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>
    <w:nsid w:val="1B3A305D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0312F1B"/>
    <w:multiLevelType w:val="hybridMultilevel"/>
    <w:tmpl w:val="93E08F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8520C"/>
    <w:multiLevelType w:val="hybridMultilevel"/>
    <w:tmpl w:val="C7E6527C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7A7556"/>
    <w:multiLevelType w:val="hybridMultilevel"/>
    <w:tmpl w:val="8416A334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1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D56684"/>
    <w:multiLevelType w:val="hybridMultilevel"/>
    <w:tmpl w:val="605AE4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C14ED"/>
    <w:multiLevelType w:val="hybridMultilevel"/>
    <w:tmpl w:val="8C40DEF2"/>
    <w:lvl w:ilvl="0" w:tplc="BD8AE5BA">
      <w:start w:val="1"/>
      <w:numFmt w:val="lowerLetter"/>
      <w:lvlText w:val="%1)"/>
      <w:lvlJc w:val="left"/>
      <w:pPr>
        <w:ind w:left="1068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4574F3D"/>
    <w:multiLevelType w:val="hybridMultilevel"/>
    <w:tmpl w:val="571A0D08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9F72E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5772956"/>
    <w:multiLevelType w:val="hybridMultilevel"/>
    <w:tmpl w:val="2A8ED91C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E26D25"/>
    <w:multiLevelType w:val="hybridMultilevel"/>
    <w:tmpl w:val="23C0D6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14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17"/>
  </w:num>
  <w:num w:numId="15">
    <w:abstractNumId w:val="15"/>
  </w:num>
  <w:num w:numId="16">
    <w:abstractNumId w:val="13"/>
  </w:num>
  <w:num w:numId="17">
    <w:abstractNumId w:val="5"/>
  </w:num>
  <w:num w:numId="18">
    <w:abstractNumId w:val="16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AD" w15:userId="S-1-5-21-352021142-1903484755-3030794557-2020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yMLQwMDA3sDAzMjY0NzBR0lEKTi0uzszPAykwrAUAH7DbwCwAAAA="/>
  </w:docVars>
  <w:rsids>
    <w:rsidRoot w:val="008C5959"/>
    <w:rsid w:val="00000DC8"/>
    <w:rsid w:val="00000F4C"/>
    <w:rsid w:val="00001DEE"/>
    <w:rsid w:val="000032EE"/>
    <w:rsid w:val="00004B2B"/>
    <w:rsid w:val="0000682F"/>
    <w:rsid w:val="000113F4"/>
    <w:rsid w:val="00015452"/>
    <w:rsid w:val="00017B50"/>
    <w:rsid w:val="00017EEC"/>
    <w:rsid w:val="00021FDC"/>
    <w:rsid w:val="000250F5"/>
    <w:rsid w:val="00033148"/>
    <w:rsid w:val="00033893"/>
    <w:rsid w:val="00033DEA"/>
    <w:rsid w:val="000348EF"/>
    <w:rsid w:val="0003703E"/>
    <w:rsid w:val="000502D5"/>
    <w:rsid w:val="00052E96"/>
    <w:rsid w:val="00053E1E"/>
    <w:rsid w:val="00054DA2"/>
    <w:rsid w:val="0005754B"/>
    <w:rsid w:val="00071669"/>
    <w:rsid w:val="00081B91"/>
    <w:rsid w:val="000820A8"/>
    <w:rsid w:val="000826DB"/>
    <w:rsid w:val="000845FF"/>
    <w:rsid w:val="00085355"/>
    <w:rsid w:val="000903BD"/>
    <w:rsid w:val="00096CD6"/>
    <w:rsid w:val="000A59EC"/>
    <w:rsid w:val="000B0018"/>
    <w:rsid w:val="000B28D9"/>
    <w:rsid w:val="000C090A"/>
    <w:rsid w:val="000C30F6"/>
    <w:rsid w:val="000C5353"/>
    <w:rsid w:val="000D37E8"/>
    <w:rsid w:val="000D7E62"/>
    <w:rsid w:val="000E0C29"/>
    <w:rsid w:val="000E1CF9"/>
    <w:rsid w:val="000E54C9"/>
    <w:rsid w:val="000E6731"/>
    <w:rsid w:val="000E79A2"/>
    <w:rsid w:val="000F3950"/>
    <w:rsid w:val="000F4509"/>
    <w:rsid w:val="000F69D6"/>
    <w:rsid w:val="00107A9E"/>
    <w:rsid w:val="0012349A"/>
    <w:rsid w:val="00124CE2"/>
    <w:rsid w:val="00126523"/>
    <w:rsid w:val="00130769"/>
    <w:rsid w:val="00133D13"/>
    <w:rsid w:val="001343C1"/>
    <w:rsid w:val="00137CF3"/>
    <w:rsid w:val="00141C2F"/>
    <w:rsid w:val="0015122E"/>
    <w:rsid w:val="0015544B"/>
    <w:rsid w:val="001578C5"/>
    <w:rsid w:val="0016419D"/>
    <w:rsid w:val="0017166C"/>
    <w:rsid w:val="001776CC"/>
    <w:rsid w:val="00185A09"/>
    <w:rsid w:val="00186F15"/>
    <w:rsid w:val="00190633"/>
    <w:rsid w:val="001A55DF"/>
    <w:rsid w:val="001B1FFD"/>
    <w:rsid w:val="001B5E27"/>
    <w:rsid w:val="001C40B1"/>
    <w:rsid w:val="001D1954"/>
    <w:rsid w:val="001D7EFA"/>
    <w:rsid w:val="001F497F"/>
    <w:rsid w:val="001F788F"/>
    <w:rsid w:val="00217D57"/>
    <w:rsid w:val="002245E2"/>
    <w:rsid w:val="00226795"/>
    <w:rsid w:val="00230947"/>
    <w:rsid w:val="002309DA"/>
    <w:rsid w:val="00241BCD"/>
    <w:rsid w:val="00241D4D"/>
    <w:rsid w:val="0024333E"/>
    <w:rsid w:val="00251FD7"/>
    <w:rsid w:val="002544C8"/>
    <w:rsid w:val="002574B1"/>
    <w:rsid w:val="00260982"/>
    <w:rsid w:val="002622DB"/>
    <w:rsid w:val="00275895"/>
    <w:rsid w:val="002758CF"/>
    <w:rsid w:val="00277578"/>
    <w:rsid w:val="002805D7"/>
    <w:rsid w:val="00283C1F"/>
    <w:rsid w:val="00291C2E"/>
    <w:rsid w:val="00292871"/>
    <w:rsid w:val="00294290"/>
    <w:rsid w:val="0029473F"/>
    <w:rsid w:val="00294A95"/>
    <w:rsid w:val="002953E9"/>
    <w:rsid w:val="0029596C"/>
    <w:rsid w:val="002A280A"/>
    <w:rsid w:val="002A3FDA"/>
    <w:rsid w:val="002A544D"/>
    <w:rsid w:val="002B1110"/>
    <w:rsid w:val="002B21C6"/>
    <w:rsid w:val="002B3855"/>
    <w:rsid w:val="002B77A4"/>
    <w:rsid w:val="002C3446"/>
    <w:rsid w:val="002E21F7"/>
    <w:rsid w:val="002E63A4"/>
    <w:rsid w:val="002F37DD"/>
    <w:rsid w:val="0030363D"/>
    <w:rsid w:val="003061A1"/>
    <w:rsid w:val="003100E0"/>
    <w:rsid w:val="00334554"/>
    <w:rsid w:val="003365E6"/>
    <w:rsid w:val="0034007A"/>
    <w:rsid w:val="0034111C"/>
    <w:rsid w:val="00341694"/>
    <w:rsid w:val="00361C56"/>
    <w:rsid w:val="003620FC"/>
    <w:rsid w:val="003623BC"/>
    <w:rsid w:val="00362B6A"/>
    <w:rsid w:val="00370539"/>
    <w:rsid w:val="00372931"/>
    <w:rsid w:val="00374ADF"/>
    <w:rsid w:val="00385C7D"/>
    <w:rsid w:val="00387C84"/>
    <w:rsid w:val="0039342C"/>
    <w:rsid w:val="00397216"/>
    <w:rsid w:val="003976B7"/>
    <w:rsid w:val="003A74D6"/>
    <w:rsid w:val="003B2372"/>
    <w:rsid w:val="003C05B3"/>
    <w:rsid w:val="003C1B81"/>
    <w:rsid w:val="003C2610"/>
    <w:rsid w:val="003C3D60"/>
    <w:rsid w:val="003C52EE"/>
    <w:rsid w:val="003C57E5"/>
    <w:rsid w:val="003D62F2"/>
    <w:rsid w:val="003E37FF"/>
    <w:rsid w:val="003E5E78"/>
    <w:rsid w:val="003F167E"/>
    <w:rsid w:val="003F3C0A"/>
    <w:rsid w:val="003F4652"/>
    <w:rsid w:val="00405788"/>
    <w:rsid w:val="00414C25"/>
    <w:rsid w:val="00420AA5"/>
    <w:rsid w:val="00421032"/>
    <w:rsid w:val="00421B60"/>
    <w:rsid w:val="004309FF"/>
    <w:rsid w:val="00433BED"/>
    <w:rsid w:val="00433D37"/>
    <w:rsid w:val="004357F4"/>
    <w:rsid w:val="0043715E"/>
    <w:rsid w:val="00440EE8"/>
    <w:rsid w:val="004414E3"/>
    <w:rsid w:val="0045441F"/>
    <w:rsid w:val="00454A4E"/>
    <w:rsid w:val="004572AB"/>
    <w:rsid w:val="00460730"/>
    <w:rsid w:val="00463382"/>
    <w:rsid w:val="00472A2B"/>
    <w:rsid w:val="004750CB"/>
    <w:rsid w:val="0047671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D13A1"/>
    <w:rsid w:val="004E0D4A"/>
    <w:rsid w:val="004E21BC"/>
    <w:rsid w:val="004E41B9"/>
    <w:rsid w:val="004E76F6"/>
    <w:rsid w:val="004F005D"/>
    <w:rsid w:val="004F149A"/>
    <w:rsid w:val="004F3AE2"/>
    <w:rsid w:val="004F407E"/>
    <w:rsid w:val="00504F10"/>
    <w:rsid w:val="00505316"/>
    <w:rsid w:val="005104C3"/>
    <w:rsid w:val="00516E65"/>
    <w:rsid w:val="00527BDA"/>
    <w:rsid w:val="005353B5"/>
    <w:rsid w:val="00536775"/>
    <w:rsid w:val="00537EAB"/>
    <w:rsid w:val="00541C6A"/>
    <w:rsid w:val="00542C78"/>
    <w:rsid w:val="00547F33"/>
    <w:rsid w:val="005522BC"/>
    <w:rsid w:val="00560836"/>
    <w:rsid w:val="005614C1"/>
    <w:rsid w:val="0056256F"/>
    <w:rsid w:val="00563844"/>
    <w:rsid w:val="00564050"/>
    <w:rsid w:val="00573D7E"/>
    <w:rsid w:val="0057446B"/>
    <w:rsid w:val="005764C3"/>
    <w:rsid w:val="00583B19"/>
    <w:rsid w:val="0058475D"/>
    <w:rsid w:val="00585DB5"/>
    <w:rsid w:val="00586CD7"/>
    <w:rsid w:val="00587045"/>
    <w:rsid w:val="00595293"/>
    <w:rsid w:val="005A1066"/>
    <w:rsid w:val="005A2AAF"/>
    <w:rsid w:val="005A3B68"/>
    <w:rsid w:val="005A7527"/>
    <w:rsid w:val="005B1005"/>
    <w:rsid w:val="005B31AF"/>
    <w:rsid w:val="005C54E2"/>
    <w:rsid w:val="005C7E47"/>
    <w:rsid w:val="005D12E5"/>
    <w:rsid w:val="005D15E1"/>
    <w:rsid w:val="005D3FD0"/>
    <w:rsid w:val="005D4972"/>
    <w:rsid w:val="005D4CBF"/>
    <w:rsid w:val="005E325B"/>
    <w:rsid w:val="005F0686"/>
    <w:rsid w:val="005F3200"/>
    <w:rsid w:val="005F6BDB"/>
    <w:rsid w:val="0061466D"/>
    <w:rsid w:val="0061770F"/>
    <w:rsid w:val="006209E3"/>
    <w:rsid w:val="006270B9"/>
    <w:rsid w:val="00630C7A"/>
    <w:rsid w:val="00631DA9"/>
    <w:rsid w:val="0063790E"/>
    <w:rsid w:val="00641CBE"/>
    <w:rsid w:val="00643AE4"/>
    <w:rsid w:val="00650373"/>
    <w:rsid w:val="00655628"/>
    <w:rsid w:val="00666C22"/>
    <w:rsid w:val="00671066"/>
    <w:rsid w:val="00672B0F"/>
    <w:rsid w:val="00673200"/>
    <w:rsid w:val="006747F6"/>
    <w:rsid w:val="00682AAD"/>
    <w:rsid w:val="00685CF7"/>
    <w:rsid w:val="006966D3"/>
    <w:rsid w:val="006A0B79"/>
    <w:rsid w:val="006A29B1"/>
    <w:rsid w:val="006A4877"/>
    <w:rsid w:val="006B4CA5"/>
    <w:rsid w:val="006C2940"/>
    <w:rsid w:val="006C3C94"/>
    <w:rsid w:val="006D0837"/>
    <w:rsid w:val="006D262C"/>
    <w:rsid w:val="006D558A"/>
    <w:rsid w:val="006E0662"/>
    <w:rsid w:val="006E4055"/>
    <w:rsid w:val="006E52E4"/>
    <w:rsid w:val="006F4C13"/>
    <w:rsid w:val="006F598D"/>
    <w:rsid w:val="006F618D"/>
    <w:rsid w:val="006F7FCC"/>
    <w:rsid w:val="00700731"/>
    <w:rsid w:val="0070772C"/>
    <w:rsid w:val="00710A7C"/>
    <w:rsid w:val="00712631"/>
    <w:rsid w:val="007136F5"/>
    <w:rsid w:val="00724604"/>
    <w:rsid w:val="00726E81"/>
    <w:rsid w:val="00734044"/>
    <w:rsid w:val="00741F0C"/>
    <w:rsid w:val="00743237"/>
    <w:rsid w:val="00745747"/>
    <w:rsid w:val="00752ADC"/>
    <w:rsid w:val="00761145"/>
    <w:rsid w:val="00765FF2"/>
    <w:rsid w:val="00770262"/>
    <w:rsid w:val="007830AF"/>
    <w:rsid w:val="007834D5"/>
    <w:rsid w:val="007840A7"/>
    <w:rsid w:val="00786356"/>
    <w:rsid w:val="007864C5"/>
    <w:rsid w:val="007876AA"/>
    <w:rsid w:val="007937EE"/>
    <w:rsid w:val="007A1AD8"/>
    <w:rsid w:val="007A4D70"/>
    <w:rsid w:val="007A7E78"/>
    <w:rsid w:val="007B0810"/>
    <w:rsid w:val="007B2FE5"/>
    <w:rsid w:val="007B5C08"/>
    <w:rsid w:val="007C008F"/>
    <w:rsid w:val="007C1E6F"/>
    <w:rsid w:val="007C5284"/>
    <w:rsid w:val="007D02F2"/>
    <w:rsid w:val="007D1ED4"/>
    <w:rsid w:val="007D5580"/>
    <w:rsid w:val="007D5994"/>
    <w:rsid w:val="007D6485"/>
    <w:rsid w:val="007E25B6"/>
    <w:rsid w:val="007E34C0"/>
    <w:rsid w:val="007E74D7"/>
    <w:rsid w:val="007F0526"/>
    <w:rsid w:val="007F0D4C"/>
    <w:rsid w:val="007F334E"/>
    <w:rsid w:val="007F4F5C"/>
    <w:rsid w:val="007F6AEE"/>
    <w:rsid w:val="0080211A"/>
    <w:rsid w:val="008059E6"/>
    <w:rsid w:val="008077EF"/>
    <w:rsid w:val="008245DF"/>
    <w:rsid w:val="008250E0"/>
    <w:rsid w:val="00825562"/>
    <w:rsid w:val="00836337"/>
    <w:rsid w:val="00837AD8"/>
    <w:rsid w:val="00847E21"/>
    <w:rsid w:val="00860B0B"/>
    <w:rsid w:val="00862336"/>
    <w:rsid w:val="00864434"/>
    <w:rsid w:val="008714DB"/>
    <w:rsid w:val="00871E24"/>
    <w:rsid w:val="00880F03"/>
    <w:rsid w:val="00881ACA"/>
    <w:rsid w:val="00884149"/>
    <w:rsid w:val="00891A18"/>
    <w:rsid w:val="00892FDE"/>
    <w:rsid w:val="00893234"/>
    <w:rsid w:val="00895070"/>
    <w:rsid w:val="00896579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37E6"/>
    <w:rsid w:val="008D39EC"/>
    <w:rsid w:val="008D7446"/>
    <w:rsid w:val="008E07A0"/>
    <w:rsid w:val="008E1452"/>
    <w:rsid w:val="008E607F"/>
    <w:rsid w:val="008F1049"/>
    <w:rsid w:val="008F423F"/>
    <w:rsid w:val="008F5E5E"/>
    <w:rsid w:val="00905300"/>
    <w:rsid w:val="00911E7D"/>
    <w:rsid w:val="00911E9A"/>
    <w:rsid w:val="009201A0"/>
    <w:rsid w:val="009401B4"/>
    <w:rsid w:val="0094402B"/>
    <w:rsid w:val="00944215"/>
    <w:rsid w:val="009520CC"/>
    <w:rsid w:val="0096440E"/>
    <w:rsid w:val="00965FF5"/>
    <w:rsid w:val="009677FE"/>
    <w:rsid w:val="00974A7A"/>
    <w:rsid w:val="009833BC"/>
    <w:rsid w:val="00984791"/>
    <w:rsid w:val="009869EB"/>
    <w:rsid w:val="00987E14"/>
    <w:rsid w:val="00993D11"/>
    <w:rsid w:val="009966B9"/>
    <w:rsid w:val="00997487"/>
    <w:rsid w:val="009A06CD"/>
    <w:rsid w:val="009A2EC5"/>
    <w:rsid w:val="009A5B1D"/>
    <w:rsid w:val="009A7954"/>
    <w:rsid w:val="009B2158"/>
    <w:rsid w:val="009B4CA1"/>
    <w:rsid w:val="009B6736"/>
    <w:rsid w:val="009C02A5"/>
    <w:rsid w:val="009C6551"/>
    <w:rsid w:val="009C6CA5"/>
    <w:rsid w:val="009D4D16"/>
    <w:rsid w:val="009E0BF3"/>
    <w:rsid w:val="009E24AE"/>
    <w:rsid w:val="009F11EC"/>
    <w:rsid w:val="00A01D35"/>
    <w:rsid w:val="00A01F87"/>
    <w:rsid w:val="00A02EB1"/>
    <w:rsid w:val="00A04E67"/>
    <w:rsid w:val="00A20857"/>
    <w:rsid w:val="00A3117D"/>
    <w:rsid w:val="00A316F2"/>
    <w:rsid w:val="00A5311F"/>
    <w:rsid w:val="00A565BD"/>
    <w:rsid w:val="00A6114F"/>
    <w:rsid w:val="00A62199"/>
    <w:rsid w:val="00A65130"/>
    <w:rsid w:val="00A73964"/>
    <w:rsid w:val="00A80BB9"/>
    <w:rsid w:val="00A855BE"/>
    <w:rsid w:val="00A9065A"/>
    <w:rsid w:val="00AA1777"/>
    <w:rsid w:val="00AA3509"/>
    <w:rsid w:val="00AA7006"/>
    <w:rsid w:val="00AA72CB"/>
    <w:rsid w:val="00AB4876"/>
    <w:rsid w:val="00AB6419"/>
    <w:rsid w:val="00AC58BC"/>
    <w:rsid w:val="00AC60E1"/>
    <w:rsid w:val="00AD4615"/>
    <w:rsid w:val="00AE30A0"/>
    <w:rsid w:val="00AE72A5"/>
    <w:rsid w:val="00AF6C9C"/>
    <w:rsid w:val="00B01A2C"/>
    <w:rsid w:val="00B01D63"/>
    <w:rsid w:val="00B04021"/>
    <w:rsid w:val="00B05309"/>
    <w:rsid w:val="00B05C81"/>
    <w:rsid w:val="00B176C5"/>
    <w:rsid w:val="00B22576"/>
    <w:rsid w:val="00B32C6A"/>
    <w:rsid w:val="00B35ADD"/>
    <w:rsid w:val="00B375AC"/>
    <w:rsid w:val="00B41E73"/>
    <w:rsid w:val="00B41F43"/>
    <w:rsid w:val="00B42F82"/>
    <w:rsid w:val="00B43075"/>
    <w:rsid w:val="00B51D3D"/>
    <w:rsid w:val="00B63B00"/>
    <w:rsid w:val="00B77AAD"/>
    <w:rsid w:val="00BA13DC"/>
    <w:rsid w:val="00BA1AA6"/>
    <w:rsid w:val="00BA4D60"/>
    <w:rsid w:val="00BA5A8C"/>
    <w:rsid w:val="00BA72D8"/>
    <w:rsid w:val="00BA7A3C"/>
    <w:rsid w:val="00BB17D9"/>
    <w:rsid w:val="00BB3269"/>
    <w:rsid w:val="00BB3F00"/>
    <w:rsid w:val="00BB47AB"/>
    <w:rsid w:val="00BB67D5"/>
    <w:rsid w:val="00BC2EE2"/>
    <w:rsid w:val="00BC3718"/>
    <w:rsid w:val="00BC4E18"/>
    <w:rsid w:val="00BC6D7A"/>
    <w:rsid w:val="00BC7752"/>
    <w:rsid w:val="00BC7BC6"/>
    <w:rsid w:val="00BD27A5"/>
    <w:rsid w:val="00BE40E2"/>
    <w:rsid w:val="00BE5520"/>
    <w:rsid w:val="00BE5A08"/>
    <w:rsid w:val="00BE5ADC"/>
    <w:rsid w:val="00BE5F5A"/>
    <w:rsid w:val="00BF4488"/>
    <w:rsid w:val="00BF67CF"/>
    <w:rsid w:val="00C04697"/>
    <w:rsid w:val="00C110A9"/>
    <w:rsid w:val="00C11EED"/>
    <w:rsid w:val="00C15983"/>
    <w:rsid w:val="00C15BE5"/>
    <w:rsid w:val="00C15DF0"/>
    <w:rsid w:val="00C328A8"/>
    <w:rsid w:val="00C3380C"/>
    <w:rsid w:val="00C37DAC"/>
    <w:rsid w:val="00C42719"/>
    <w:rsid w:val="00C45EE3"/>
    <w:rsid w:val="00C46360"/>
    <w:rsid w:val="00C47128"/>
    <w:rsid w:val="00C553F5"/>
    <w:rsid w:val="00C55B5F"/>
    <w:rsid w:val="00C611B7"/>
    <w:rsid w:val="00C639C4"/>
    <w:rsid w:val="00C66B36"/>
    <w:rsid w:val="00C67629"/>
    <w:rsid w:val="00C759F6"/>
    <w:rsid w:val="00C8042E"/>
    <w:rsid w:val="00C87050"/>
    <w:rsid w:val="00C87DD6"/>
    <w:rsid w:val="00C90E95"/>
    <w:rsid w:val="00C9113E"/>
    <w:rsid w:val="00C92705"/>
    <w:rsid w:val="00C975C6"/>
    <w:rsid w:val="00CA3CE3"/>
    <w:rsid w:val="00CA4E1B"/>
    <w:rsid w:val="00CB6B95"/>
    <w:rsid w:val="00CB77E3"/>
    <w:rsid w:val="00CB79B4"/>
    <w:rsid w:val="00CC2578"/>
    <w:rsid w:val="00CC2FD7"/>
    <w:rsid w:val="00CC53C9"/>
    <w:rsid w:val="00CC60A7"/>
    <w:rsid w:val="00CC7532"/>
    <w:rsid w:val="00CD074E"/>
    <w:rsid w:val="00CD7BBA"/>
    <w:rsid w:val="00CE2586"/>
    <w:rsid w:val="00CE44F3"/>
    <w:rsid w:val="00CE4DFC"/>
    <w:rsid w:val="00CE6815"/>
    <w:rsid w:val="00CF1E05"/>
    <w:rsid w:val="00CF7A37"/>
    <w:rsid w:val="00D01381"/>
    <w:rsid w:val="00D032B8"/>
    <w:rsid w:val="00D16CBE"/>
    <w:rsid w:val="00D21258"/>
    <w:rsid w:val="00D214C5"/>
    <w:rsid w:val="00D26618"/>
    <w:rsid w:val="00D314EB"/>
    <w:rsid w:val="00D512AC"/>
    <w:rsid w:val="00D526B7"/>
    <w:rsid w:val="00D5406A"/>
    <w:rsid w:val="00D72147"/>
    <w:rsid w:val="00D75EED"/>
    <w:rsid w:val="00D81406"/>
    <w:rsid w:val="00D83350"/>
    <w:rsid w:val="00D842D8"/>
    <w:rsid w:val="00D867E2"/>
    <w:rsid w:val="00D87125"/>
    <w:rsid w:val="00D9326A"/>
    <w:rsid w:val="00D940FE"/>
    <w:rsid w:val="00DB4339"/>
    <w:rsid w:val="00DB512F"/>
    <w:rsid w:val="00DB7773"/>
    <w:rsid w:val="00DC0517"/>
    <w:rsid w:val="00DC3794"/>
    <w:rsid w:val="00DC6980"/>
    <w:rsid w:val="00DD010A"/>
    <w:rsid w:val="00DD3E5C"/>
    <w:rsid w:val="00DD74F3"/>
    <w:rsid w:val="00DE0B67"/>
    <w:rsid w:val="00DE10D9"/>
    <w:rsid w:val="00DE1AA9"/>
    <w:rsid w:val="00DE35C8"/>
    <w:rsid w:val="00DE3638"/>
    <w:rsid w:val="00DE4D15"/>
    <w:rsid w:val="00DE5F47"/>
    <w:rsid w:val="00DE75D2"/>
    <w:rsid w:val="00DF43CB"/>
    <w:rsid w:val="00DF677B"/>
    <w:rsid w:val="00DF6DDE"/>
    <w:rsid w:val="00E00272"/>
    <w:rsid w:val="00E06CAC"/>
    <w:rsid w:val="00E06EED"/>
    <w:rsid w:val="00E11261"/>
    <w:rsid w:val="00E312A9"/>
    <w:rsid w:val="00E37623"/>
    <w:rsid w:val="00E43ED3"/>
    <w:rsid w:val="00E510A6"/>
    <w:rsid w:val="00E52031"/>
    <w:rsid w:val="00E554DB"/>
    <w:rsid w:val="00E62F11"/>
    <w:rsid w:val="00E703DE"/>
    <w:rsid w:val="00E7108E"/>
    <w:rsid w:val="00E73EEF"/>
    <w:rsid w:val="00E80524"/>
    <w:rsid w:val="00E84697"/>
    <w:rsid w:val="00E87713"/>
    <w:rsid w:val="00E91F56"/>
    <w:rsid w:val="00E949AB"/>
    <w:rsid w:val="00E979B6"/>
    <w:rsid w:val="00EA1323"/>
    <w:rsid w:val="00EA29F2"/>
    <w:rsid w:val="00EA5030"/>
    <w:rsid w:val="00EA54F7"/>
    <w:rsid w:val="00EB0131"/>
    <w:rsid w:val="00EB43C7"/>
    <w:rsid w:val="00EB4B7A"/>
    <w:rsid w:val="00EB7226"/>
    <w:rsid w:val="00EB738B"/>
    <w:rsid w:val="00EB747B"/>
    <w:rsid w:val="00EC1A6E"/>
    <w:rsid w:val="00EC1C30"/>
    <w:rsid w:val="00ED1432"/>
    <w:rsid w:val="00ED14A8"/>
    <w:rsid w:val="00ED43BF"/>
    <w:rsid w:val="00EE365B"/>
    <w:rsid w:val="00EE6C0E"/>
    <w:rsid w:val="00EF6798"/>
    <w:rsid w:val="00F0729E"/>
    <w:rsid w:val="00F07601"/>
    <w:rsid w:val="00F1296A"/>
    <w:rsid w:val="00F12F9F"/>
    <w:rsid w:val="00F13FD6"/>
    <w:rsid w:val="00F1411E"/>
    <w:rsid w:val="00F1767A"/>
    <w:rsid w:val="00F24EA0"/>
    <w:rsid w:val="00F24FF9"/>
    <w:rsid w:val="00F2545D"/>
    <w:rsid w:val="00F27C37"/>
    <w:rsid w:val="00F34EF7"/>
    <w:rsid w:val="00F36D81"/>
    <w:rsid w:val="00F45D9A"/>
    <w:rsid w:val="00F46298"/>
    <w:rsid w:val="00F474FC"/>
    <w:rsid w:val="00F523BE"/>
    <w:rsid w:val="00F53A69"/>
    <w:rsid w:val="00F560EE"/>
    <w:rsid w:val="00F61476"/>
    <w:rsid w:val="00F65FD4"/>
    <w:rsid w:val="00F7000E"/>
    <w:rsid w:val="00F7338F"/>
    <w:rsid w:val="00F73DB0"/>
    <w:rsid w:val="00F77005"/>
    <w:rsid w:val="00F8100B"/>
    <w:rsid w:val="00F8280C"/>
    <w:rsid w:val="00F82FF0"/>
    <w:rsid w:val="00F92AA7"/>
    <w:rsid w:val="00FA212D"/>
    <w:rsid w:val="00FC1AAE"/>
    <w:rsid w:val="00FC1FCC"/>
    <w:rsid w:val="00FE1A68"/>
    <w:rsid w:val="00FE287B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F77005"/>
    <w:rPr>
      <w:rFonts w:ascii="Arial" w:hAnsi="Arial"/>
      <w:szCs w:val="24"/>
      <w:lang w:eastAsia="zh-CN"/>
    </w:rPr>
  </w:style>
  <w:style w:type="paragraph" w:styleId="Bezriadkovania">
    <w:name w:val="No Spacing"/>
    <w:uiPriority w:val="1"/>
    <w:qFormat/>
    <w:rsid w:val="007876AA"/>
    <w:rPr>
      <w:szCs w:val="22"/>
      <w:lang w:eastAsia="en-US" w:bidi="en-US"/>
    </w:rPr>
  </w:style>
  <w:style w:type="paragraph" w:styleId="Zkladntext">
    <w:name w:val="Body Text"/>
    <w:aliases w:val="bt,body text,contents,(10)"/>
    <w:basedOn w:val="Normlny"/>
    <w:link w:val="ZkladntextChar"/>
    <w:rsid w:val="00F45D9A"/>
    <w:rPr>
      <w:rFonts w:eastAsia="Times New Roman"/>
      <w:noProof/>
      <w:lang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F45D9A"/>
    <w:rPr>
      <w:rFonts w:ascii="Arial" w:eastAsia="Times New Roman" w:hAnsi="Arial"/>
      <w:noProof/>
      <w:szCs w:val="24"/>
    </w:rPr>
  </w:style>
  <w:style w:type="paragraph" w:customStyle="1" w:styleId="Odsekzoznamu1">
    <w:name w:val="Odsek zoznamu1"/>
    <w:basedOn w:val="Normlny"/>
    <w:uiPriority w:val="34"/>
    <w:qFormat/>
    <w:rsid w:val="00F45D9A"/>
    <w:pPr>
      <w:tabs>
        <w:tab w:val="left" w:pos="2160"/>
        <w:tab w:val="left" w:pos="2880"/>
        <w:tab w:val="left" w:pos="4500"/>
      </w:tabs>
      <w:ind w:left="708"/>
      <w:jc w:val="left"/>
    </w:pPr>
    <w:rPr>
      <w:rFonts w:eastAsia="Times New Roman"/>
      <w:szCs w:val="20"/>
      <w:lang w:eastAsia="cs-CZ"/>
    </w:rPr>
  </w:style>
  <w:style w:type="paragraph" w:customStyle="1" w:styleId="Bezriadkovania1">
    <w:name w:val="Bez riadkovania1"/>
    <w:uiPriority w:val="99"/>
    <w:rsid w:val="00F45D9A"/>
    <w:rPr>
      <w:rFonts w:ascii="Arial" w:eastAsia="Times New Roman" w:hAnsi="Arial" w:cs="Arial"/>
      <w:sz w:val="22"/>
      <w:szCs w:val="22"/>
    </w:rPr>
  </w:style>
  <w:style w:type="paragraph" w:customStyle="1" w:styleId="CTL">
    <w:name w:val="CTL"/>
    <w:basedOn w:val="Normlny"/>
    <w:rsid w:val="00F45D9A"/>
    <w:pPr>
      <w:widowControl w:val="0"/>
      <w:numPr>
        <w:numId w:val="4"/>
      </w:numPr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CTLhead">
    <w:name w:val="CTL_head"/>
    <w:basedOn w:val="Normlny"/>
    <w:rsid w:val="00F45D9A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b/>
      <w:bCs/>
      <w:sz w:val="28"/>
      <w:szCs w:val="20"/>
      <w:lang w:eastAsia="en-US"/>
    </w:rPr>
  </w:style>
  <w:style w:type="paragraph" w:customStyle="1" w:styleId="ListParagraph2">
    <w:name w:val="List Paragraph2"/>
    <w:basedOn w:val="Normlny"/>
    <w:qFormat/>
    <w:rsid w:val="00F45D9A"/>
    <w:pPr>
      <w:ind w:left="708"/>
      <w:jc w:val="left"/>
    </w:pPr>
    <w:rPr>
      <w:rFonts w:ascii="Times New Roman" w:eastAsia="Times New Roman" w:hAnsi="Times New Roman"/>
      <w:sz w:val="24"/>
      <w:lang w:eastAsia="sk-SK"/>
    </w:rPr>
  </w:style>
  <w:style w:type="paragraph" w:styleId="slovanzoznam4">
    <w:name w:val="List Number 4"/>
    <w:basedOn w:val="Normlny"/>
    <w:rsid w:val="00F45D9A"/>
    <w:pPr>
      <w:widowControl w:val="0"/>
      <w:numPr>
        <w:numId w:val="5"/>
      </w:numPr>
      <w:tabs>
        <w:tab w:val="clear" w:pos="1492"/>
        <w:tab w:val="num" w:pos="1209"/>
      </w:tabs>
      <w:autoSpaceDE w:val="0"/>
      <w:autoSpaceDN w:val="0"/>
      <w:adjustRightInd w:val="0"/>
      <w:ind w:left="1209"/>
      <w:jc w:val="left"/>
    </w:pPr>
    <w:rPr>
      <w:rFonts w:eastAsia="Times New Roman" w:cs="Arial"/>
      <w:szCs w:val="20"/>
      <w:lang w:val="en-US" w:eastAsia="en-US"/>
    </w:rPr>
  </w:style>
  <w:style w:type="table" w:styleId="Mriekatabuky">
    <w:name w:val="Table Grid"/>
    <w:basedOn w:val="Normlnatabuka"/>
    <w:uiPriority w:val="59"/>
    <w:rsid w:val="00F45D9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A3"/>
    <w:basedOn w:val="Normlny"/>
    <w:rsid w:val="00F45D9A"/>
    <w:pPr>
      <w:keepNext/>
      <w:widowControl w:val="0"/>
      <w:numPr>
        <w:numId w:val="6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</w:pPr>
    <w:rPr>
      <w:rFonts w:eastAsia="Arial"/>
      <w:bCs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/>
</file>

<file path=customXml/itemProps1.xml><?xml version="1.0" encoding="utf-8"?>
<ds:datastoreItem xmlns:ds="http://schemas.openxmlformats.org/officeDocument/2006/customXml" ds:itemID="{474B6B53-7123-4658-A8AF-67712B4CDE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1659</Words>
  <Characters>9462</Characters>
  <Application>Microsoft Office Word</Application>
  <DocSecurity>0</DocSecurity>
  <Lines>78</Lines>
  <Paragraphs>22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11099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</cp:lastModifiedBy>
  <cp:revision>5</cp:revision>
  <cp:lastPrinted>2021-10-14T11:25:00Z</cp:lastPrinted>
  <dcterms:created xsi:type="dcterms:W3CDTF">2021-12-14T14:20:00Z</dcterms:created>
  <dcterms:modified xsi:type="dcterms:W3CDTF">2022-01-18T09:52:00Z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