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Pr="00157294" w:rsidRDefault="00F143A3" w:rsidP="00F143A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143A3" w:rsidRPr="00EC2537" w:rsidTr="00033191">
        <w:trPr>
          <w:trHeight w:val="2700"/>
        </w:trPr>
        <w:tc>
          <w:tcPr>
            <w:tcW w:w="9073" w:type="dxa"/>
          </w:tcPr>
          <w:p w:rsidR="00F143A3" w:rsidRPr="0031184F" w:rsidRDefault="00F143A3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43A3" w:rsidRPr="0031184F" w:rsidRDefault="00F143A3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43A3" w:rsidRDefault="00F143A3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43A3" w:rsidRPr="0031184F" w:rsidRDefault="00F143A3" w:rsidP="0003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43A3" w:rsidRPr="00EC2537" w:rsidRDefault="00F143A3" w:rsidP="00F143A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</w:rPr>
              <w:t>odôvodnenie nerozdelenia predmetu zákazky na časti</w:t>
            </w:r>
          </w:p>
        </w:tc>
      </w:tr>
    </w:tbl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F143A3" w:rsidRDefault="00F143A3">
      <w:pPr>
        <w:spacing w:after="160" w:line="259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F143A3" w:rsidRDefault="00F143A3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F143A3">
        <w:rPr>
          <w:rFonts w:ascii="Arial Narrow" w:hAnsi="Arial Narrow" w:cs="Arial"/>
          <w:b/>
          <w:sz w:val="22"/>
          <w:szCs w:val="22"/>
        </w:rPr>
        <w:t xml:space="preserve">predmetu </w:t>
      </w:r>
      <w:r w:rsidRPr="00F43FE5">
        <w:rPr>
          <w:rFonts w:ascii="Arial Narrow" w:hAnsi="Arial Narrow" w:cs="Arial"/>
          <w:b/>
          <w:sz w:val="22"/>
          <w:szCs w:val="22"/>
        </w:rPr>
        <w:t>zákazky na časti</w:t>
      </w:r>
    </w:p>
    <w:p w:rsidR="00A656AC" w:rsidRPr="00F43FE5" w:rsidRDefault="00A656AC" w:rsidP="007D5F2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A656AC" w:rsidRPr="00F43FE5" w:rsidRDefault="00D92019" w:rsidP="00A5770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b/>
          <w:sz w:val="22"/>
          <w:szCs w:val="22"/>
        </w:rPr>
        <w:t xml:space="preserve">Technické zariadenia </w:t>
      </w:r>
      <w:r w:rsidR="0066349D">
        <w:rPr>
          <w:rFonts w:ascii="Arial Narrow" w:hAnsi="Arial Narrow" w:cs="Arial"/>
          <w:b/>
          <w:sz w:val="22"/>
          <w:szCs w:val="22"/>
        </w:rPr>
        <w:t>5</w:t>
      </w:r>
      <w:r w:rsidR="008F4B71">
        <w:rPr>
          <w:rFonts w:ascii="Arial Narrow" w:hAnsi="Arial Narrow" w:cs="Arial"/>
          <w:b/>
          <w:sz w:val="22"/>
          <w:szCs w:val="22"/>
        </w:rPr>
        <w:t xml:space="preserve"> – </w:t>
      </w:r>
      <w:r w:rsidR="0066349D">
        <w:rPr>
          <w:rFonts w:ascii="Arial Narrow" w:hAnsi="Arial Narrow" w:cs="Arial"/>
          <w:b/>
          <w:sz w:val="22"/>
          <w:szCs w:val="22"/>
        </w:rPr>
        <w:t>Vyvolávacie</w:t>
      </w:r>
      <w:r w:rsidR="008F4B71">
        <w:rPr>
          <w:rFonts w:ascii="Arial Narrow" w:hAnsi="Arial Narrow" w:cs="Arial"/>
          <w:b/>
          <w:sz w:val="22"/>
          <w:szCs w:val="22"/>
        </w:rPr>
        <w:t xml:space="preserve"> systémy</w:t>
      </w:r>
    </w:p>
    <w:p w:rsidR="007D5F20" w:rsidRDefault="007D5F20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8F4B71" w:rsidRPr="008F4B71" w:rsidRDefault="008F4B71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8F4B71">
        <w:rPr>
          <w:rFonts w:ascii="Arial Narrow" w:hAnsi="Arial Narrow" w:cs="Arial"/>
          <w:sz w:val="22"/>
          <w:szCs w:val="22"/>
          <w:lang w:bidi="sk-SK"/>
        </w:rPr>
        <w:t xml:space="preserve">Predmetom zákazky je dodávka </w:t>
      </w:r>
      <w:r w:rsidR="00EF3536">
        <w:rPr>
          <w:rFonts w:ascii="Arial Narrow" w:hAnsi="Arial Narrow" w:cs="Arial"/>
          <w:sz w:val="22"/>
          <w:szCs w:val="22"/>
          <w:lang w:bidi="sk-SK"/>
        </w:rPr>
        <w:t>vyvolávacích</w:t>
      </w:r>
      <w:r w:rsidRPr="008F4B71">
        <w:rPr>
          <w:rFonts w:ascii="Arial Narrow" w:hAnsi="Arial Narrow" w:cs="Arial"/>
          <w:sz w:val="22"/>
          <w:szCs w:val="22"/>
          <w:lang w:bidi="sk-SK"/>
        </w:rPr>
        <w:t xml:space="preserve"> systémov:</w:t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1. </w:t>
      </w:r>
      <w:r w:rsidR="0066349D" w:rsidRPr="0066349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Informačné kiosky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2. </w:t>
      </w:r>
      <w:r w:rsidR="0066349D" w:rsidRPr="0066349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Navigačné displeje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08311A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 xml:space="preserve">3. </w:t>
      </w:r>
      <w:r w:rsidR="0066349D" w:rsidRPr="0066349D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Informačné displeje</w:t>
      </w:r>
      <w:r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08311A" w:rsidRPr="0008311A" w:rsidRDefault="0066349D" w:rsidP="0008311A">
      <w:pPr>
        <w:spacing w:after="120"/>
        <w:jc w:val="both"/>
        <w:rPr>
          <w:rFonts w:ascii="Arial Narrow" w:eastAsia="Tahoma" w:hAnsi="Arial Narrow" w:cs="Tahoma"/>
          <w:color w:val="000000"/>
          <w:sz w:val="22"/>
          <w:szCs w:val="22"/>
          <w:lang w:bidi="sk-SK"/>
        </w:rPr>
      </w:pPr>
      <w:r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4</w:t>
      </w:r>
      <w:r w:rsidR="0008311A"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>. Súvisiace práce</w:t>
      </w:r>
      <w:r w:rsidR="0008311A" w:rsidRPr="0008311A">
        <w:rPr>
          <w:rFonts w:ascii="Arial Narrow" w:eastAsia="Tahoma" w:hAnsi="Arial Narrow" w:cs="Tahoma"/>
          <w:color w:val="000000"/>
          <w:sz w:val="22"/>
          <w:szCs w:val="22"/>
          <w:lang w:bidi="sk-SK"/>
        </w:rPr>
        <w:tab/>
      </w:r>
    </w:p>
    <w:p w:rsidR="00A656AC" w:rsidRDefault="00D92019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r w:rsidRPr="00D92019">
        <w:rPr>
          <w:rFonts w:ascii="Arial Narrow" w:hAnsi="Arial Narrow" w:cs="Arial"/>
          <w:sz w:val="22"/>
          <w:szCs w:val="22"/>
        </w:rPr>
        <w:t>Súčasťou predmetu zákazky sú aj všetky súvisiace licencie a služby zabezpečenia 4-ročnej servisnej podpory dodávaných</w:t>
      </w:r>
      <w:r w:rsidR="00BD557C">
        <w:rPr>
          <w:rFonts w:ascii="Arial Narrow" w:hAnsi="Arial Narrow" w:cs="Arial"/>
          <w:sz w:val="22"/>
          <w:szCs w:val="22"/>
        </w:rPr>
        <w:t xml:space="preserve"> </w:t>
      </w:r>
      <w:r w:rsidRPr="00D92019">
        <w:rPr>
          <w:rFonts w:ascii="Arial Narrow" w:hAnsi="Arial Narrow" w:cs="Arial"/>
          <w:sz w:val="22"/>
          <w:szCs w:val="22"/>
        </w:rPr>
        <w:t>zariadení a služby, ktoré priamo súvisia s dodaním konkrétneho požadovaného tovaru, t.j. konfigurácia a inštalácia týchto technických zariadení, doprava na miesto určenia (spojená s vykládkou tovaru, likvidáciou obalov). Verejný obstarávateľ zároveň požaduje oceniť služby súvisiace s plnením predmetu zákazky: služby technického špecialistu.</w:t>
      </w:r>
      <w:r w:rsidR="00A656AC" w:rsidRPr="00F43FE5">
        <w:rPr>
          <w:rFonts w:ascii="Arial Narrow" w:hAnsi="Arial Narrow" w:cs="Arial"/>
          <w:sz w:val="22"/>
          <w:szCs w:val="22"/>
        </w:rPr>
        <w:t xml:space="preserve">  </w:t>
      </w:r>
    </w:p>
    <w:p w:rsidR="00EF3536" w:rsidRPr="00F43FE5" w:rsidRDefault="00EF3536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A3D61">
        <w:rPr>
          <w:rFonts w:ascii="Arial Narrow" w:hAnsi="Arial Narrow" w:cs="Arial"/>
          <w:sz w:val="22"/>
          <w:szCs w:val="22"/>
        </w:rPr>
        <w:t xml:space="preserve">Podrobná špecifikácia je uvedená v opise predmetu zákazky, tvoriacom prílohu </w:t>
      </w:r>
      <w:r w:rsidR="00BA1D0C">
        <w:rPr>
          <w:rFonts w:ascii="Arial Narrow" w:hAnsi="Arial Narrow" w:cs="Arial"/>
          <w:sz w:val="22"/>
          <w:szCs w:val="22"/>
        </w:rPr>
        <w:t xml:space="preserve">č. 1 </w:t>
      </w:r>
      <w:r w:rsidRPr="00EA3D61">
        <w:rPr>
          <w:rFonts w:ascii="Arial Narrow" w:hAnsi="Arial Narrow" w:cs="Arial"/>
          <w:sz w:val="22"/>
          <w:szCs w:val="22"/>
        </w:rPr>
        <w:t>súťažných podkladov.</w:t>
      </w:r>
    </w:p>
    <w:p w:rsidR="00A656AC" w:rsidRPr="00F43FE5" w:rsidRDefault="00A656AC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zákona: </w:t>
      </w:r>
      <w:r w:rsidRPr="00F43FE5">
        <w:rPr>
          <w:rFonts w:ascii="Arial Narrow" w:hAnsi="Arial Narrow" w:cs="Arial"/>
          <w:i/>
          <w:sz w:val="22"/>
          <w:szCs w:val="22"/>
        </w:rPr>
        <w:t xml:space="preserve"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</w:t>
      </w:r>
      <w:bookmarkEnd w:id="0"/>
      <w:r w:rsidRPr="00F43FE5">
        <w:rPr>
          <w:rFonts w:ascii="Arial Narrow" w:hAnsi="Arial Narrow" w:cs="Arial"/>
          <w:i/>
          <w:sz w:val="22"/>
          <w:szCs w:val="22"/>
        </w:rPr>
        <w:t>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EF3536" w:rsidRDefault="0066349D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66349D">
        <w:rPr>
          <w:rFonts w:ascii="Arial Narrow" w:hAnsi="Arial Narrow" w:cs="Arial"/>
          <w:sz w:val="22"/>
          <w:szCs w:val="22"/>
        </w:rPr>
        <w:t>Rozdelenie predmetu zákazky na časti je technicky a procesne nerealizovateľné, a to z dôvodu, že predmetná skupina tovarov a súvisiacich služieb tvorí ucelenú technologickú časť infraštruktúry</w:t>
      </w:r>
      <w:r w:rsidR="00921E54">
        <w:rPr>
          <w:rFonts w:ascii="Arial Narrow" w:hAnsi="Arial Narrow" w:cs="Arial"/>
          <w:sz w:val="22"/>
          <w:szCs w:val="22"/>
        </w:rPr>
        <w:t xml:space="preserve"> vyvolávacích systémov</w:t>
      </w:r>
      <w:r w:rsidRPr="0066349D">
        <w:rPr>
          <w:rFonts w:ascii="Arial Narrow" w:hAnsi="Arial Narrow" w:cs="Arial"/>
          <w:sz w:val="22"/>
          <w:szCs w:val="22"/>
        </w:rPr>
        <w:t xml:space="preserve">. </w:t>
      </w:r>
      <w:r w:rsidR="00EF3536" w:rsidRPr="00CC08F2">
        <w:rPr>
          <w:rFonts w:ascii="Arial Narrow" w:hAnsi="Arial Narrow" w:cs="Arial"/>
          <w:sz w:val="22"/>
          <w:szCs w:val="22"/>
        </w:rPr>
        <w:t xml:space="preserve">Rozdelenie zákazky na časti by predstavovalo riziko, že realizácia zákazky a </w:t>
      </w:r>
      <w:r w:rsidR="00EF3536">
        <w:rPr>
          <w:rFonts w:ascii="Arial Narrow" w:hAnsi="Arial Narrow" w:cs="Arial"/>
          <w:sz w:val="22"/>
          <w:szCs w:val="22"/>
        </w:rPr>
        <w:t>dodanie</w:t>
      </w:r>
      <w:r w:rsidR="00EF3536" w:rsidRPr="00CC08F2">
        <w:rPr>
          <w:rFonts w:ascii="Arial Narrow" w:hAnsi="Arial Narrow" w:cs="Arial"/>
          <w:sz w:val="22"/>
          <w:szCs w:val="22"/>
        </w:rPr>
        <w:t xml:space="preserve"> jednotlivých </w:t>
      </w:r>
      <w:r w:rsidR="00EF3536">
        <w:rPr>
          <w:rFonts w:ascii="Arial Narrow" w:hAnsi="Arial Narrow" w:cs="Arial"/>
          <w:sz w:val="22"/>
          <w:szCs w:val="22"/>
        </w:rPr>
        <w:t>tovarov/zariadení</w:t>
      </w:r>
      <w:r w:rsidR="00EF3536" w:rsidRPr="00CC08F2">
        <w:rPr>
          <w:rFonts w:ascii="Arial Narrow" w:hAnsi="Arial Narrow" w:cs="Arial"/>
          <w:sz w:val="22"/>
          <w:szCs w:val="22"/>
        </w:rPr>
        <w:t xml:space="preserve"> sa stane nadmerne technicky obťažné a finančne náročné. Rozdelenie predmetu zákazky by mohlo spôsobiť komplikácie pri identifikácii zodpovednosti za vady </w:t>
      </w:r>
      <w:r w:rsidR="00EF3536">
        <w:rPr>
          <w:rFonts w:ascii="Arial Narrow" w:hAnsi="Arial Narrow" w:cs="Arial"/>
          <w:sz w:val="22"/>
          <w:szCs w:val="22"/>
        </w:rPr>
        <w:t>vyvolávacích systémov</w:t>
      </w:r>
      <w:r w:rsidR="00EF3536" w:rsidRPr="00CC08F2">
        <w:rPr>
          <w:rFonts w:ascii="Arial Narrow" w:hAnsi="Arial Narrow" w:cs="Arial"/>
          <w:sz w:val="22"/>
          <w:szCs w:val="22"/>
        </w:rPr>
        <w:t xml:space="preserve"> pri plneniach od viacerých </w:t>
      </w:r>
      <w:r w:rsidR="00EF3536">
        <w:rPr>
          <w:rFonts w:ascii="Arial Narrow" w:hAnsi="Arial Narrow" w:cs="Arial"/>
          <w:sz w:val="22"/>
          <w:szCs w:val="22"/>
        </w:rPr>
        <w:t>dodávateľov</w:t>
      </w:r>
      <w:r w:rsidR="00EF3536" w:rsidRPr="00CC08F2">
        <w:rPr>
          <w:rFonts w:ascii="Arial Narrow" w:hAnsi="Arial Narrow" w:cs="Arial"/>
          <w:sz w:val="22"/>
          <w:szCs w:val="22"/>
        </w:rPr>
        <w:t>.</w:t>
      </w:r>
      <w:r w:rsidR="00EF3536">
        <w:rPr>
          <w:rFonts w:ascii="Arial Narrow" w:hAnsi="Arial Narrow" w:cs="Arial"/>
          <w:sz w:val="22"/>
          <w:szCs w:val="22"/>
        </w:rPr>
        <w:t xml:space="preserve"> </w:t>
      </w:r>
    </w:p>
    <w:p w:rsidR="00A656AC" w:rsidRDefault="00EF3536" w:rsidP="007D5F2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má možnosť v rámci svojej ponuky ponúknuť </w:t>
      </w:r>
      <w:r w:rsidR="0066349D" w:rsidRPr="0066349D">
        <w:rPr>
          <w:rFonts w:ascii="Arial Narrow" w:hAnsi="Arial Narrow" w:cs="Arial"/>
          <w:sz w:val="22"/>
          <w:szCs w:val="22"/>
        </w:rPr>
        <w:t>tovary a súvisiace služby od jedného alebo viacerých výrobcov, ale musí byť zodpovedný za to, že dodávané tovary budú navzájom prepojiteľné na fyzickej, sieťovej aj aplikačnej úrovni a budú spĺňať všetky požiadavky</w:t>
      </w:r>
      <w:r w:rsidR="00A325AE">
        <w:rPr>
          <w:rFonts w:ascii="Arial Narrow" w:hAnsi="Arial Narrow" w:cs="Arial"/>
          <w:sz w:val="22"/>
          <w:szCs w:val="22"/>
        </w:rPr>
        <w:t xml:space="preserve"> verejného obstarávateľa</w:t>
      </w:r>
      <w:r w:rsidR="00A325AE" w:rsidRPr="00D92019">
        <w:rPr>
          <w:rFonts w:ascii="Arial Narrow" w:hAnsi="Arial Narrow" w:cs="Arial"/>
          <w:sz w:val="22"/>
          <w:szCs w:val="22"/>
        </w:rPr>
        <w:t xml:space="preserve">. </w:t>
      </w:r>
      <w:r w:rsidR="00A325AE">
        <w:rPr>
          <w:rFonts w:ascii="Arial Narrow" w:hAnsi="Arial Narrow" w:cs="Arial"/>
          <w:sz w:val="22"/>
          <w:szCs w:val="22"/>
        </w:rPr>
        <w:t>V</w:t>
      </w:r>
      <w:r w:rsidR="00A325AE" w:rsidRPr="00EA3D61">
        <w:rPr>
          <w:rFonts w:ascii="Arial Narrow" w:hAnsi="Arial Narrow" w:cs="Arial"/>
          <w:sz w:val="22"/>
          <w:szCs w:val="22"/>
        </w:rPr>
        <w:t xml:space="preserve">yčlenenie </w:t>
      </w:r>
      <w:r w:rsidR="00A325AE">
        <w:rPr>
          <w:rFonts w:ascii="Arial Narrow" w:hAnsi="Arial Narrow" w:cs="Arial"/>
          <w:sz w:val="22"/>
          <w:szCs w:val="22"/>
        </w:rPr>
        <w:t xml:space="preserve">tovaru a súvisiacich služieb </w:t>
      </w:r>
      <w:r w:rsidR="00A325AE" w:rsidRPr="00EA3D61">
        <w:rPr>
          <w:rFonts w:ascii="Arial Narrow" w:hAnsi="Arial Narrow" w:cs="Arial"/>
          <w:sz w:val="22"/>
          <w:szCs w:val="22"/>
        </w:rPr>
        <w:t>do dvoch, prípadne viacerých verejných obstarávaní, resp. rozdelenie predmetu zákazky na samostatné časti, by prinášalo verejnému obstarávateľovi významné komplikácie pri samotnej realizácii predmetu zákazky.</w:t>
      </w:r>
      <w:r w:rsidR="0066349D" w:rsidRPr="0066349D">
        <w:rPr>
          <w:rFonts w:ascii="Arial Narrow" w:hAnsi="Arial Narrow" w:cs="Arial"/>
          <w:sz w:val="22"/>
          <w:szCs w:val="22"/>
        </w:rPr>
        <w:t xml:space="preserve"> Pri ďalšom delení predmetnej skupiny tovarov a súvisiacich služieb by nebolo možné garantovať vzájomnú interoperabilitu, nakoľko rôzni výrobcovia používajú rôzne spôsoby integrácie na rôznych vrstvách a</w:t>
      </w:r>
      <w:r w:rsidR="00A325AE">
        <w:rPr>
          <w:rFonts w:ascii="Arial Narrow" w:hAnsi="Arial Narrow" w:cs="Arial"/>
          <w:sz w:val="22"/>
          <w:szCs w:val="22"/>
        </w:rPr>
        <w:t> navyše za</w:t>
      </w:r>
      <w:r w:rsidR="0066349D" w:rsidRPr="0066349D">
        <w:rPr>
          <w:rFonts w:ascii="Arial Narrow" w:hAnsi="Arial Narrow" w:cs="Arial"/>
          <w:sz w:val="22"/>
          <w:szCs w:val="22"/>
        </w:rPr>
        <w:t>definovanie vybraných integračných parametrov by bolo diskriminačné</w:t>
      </w:r>
      <w:r w:rsidR="00D92019" w:rsidRPr="00D92019">
        <w:rPr>
          <w:rFonts w:ascii="Arial Narrow" w:hAnsi="Arial Narrow" w:cs="Arial"/>
          <w:sz w:val="22"/>
          <w:szCs w:val="22"/>
        </w:rPr>
        <w:t>.</w:t>
      </w:r>
    </w:p>
    <w:p w:rsidR="00A325AE" w:rsidRDefault="00A325AE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Vzhľadom na to, aby v rámci celej realizácie zákazky boli zabezpečené </w:t>
      </w:r>
      <w:r>
        <w:rPr>
          <w:rFonts w:ascii="Arial Narrow" w:hAnsi="Arial Narrow" w:cs="Arial"/>
          <w:sz w:val="22"/>
          <w:szCs w:val="22"/>
        </w:rPr>
        <w:t xml:space="preserve">tovary a súvisiace služby </w:t>
      </w:r>
      <w:r w:rsidRPr="003C3430">
        <w:rPr>
          <w:rFonts w:ascii="Arial Narrow" w:hAnsi="Arial Narrow" w:cs="Arial"/>
          <w:sz w:val="22"/>
          <w:szCs w:val="22"/>
        </w:rPr>
        <w:t xml:space="preserve">na rovnako vysokej úrovni, je potrebné </w:t>
      </w:r>
      <w:r>
        <w:rPr>
          <w:rFonts w:ascii="Arial Narrow" w:hAnsi="Arial Narrow" w:cs="Arial"/>
          <w:sz w:val="22"/>
          <w:szCs w:val="22"/>
        </w:rPr>
        <w:t xml:space="preserve">aby </w:t>
      </w:r>
      <w:r w:rsidRPr="003C3430">
        <w:rPr>
          <w:rFonts w:ascii="Arial Narrow" w:hAnsi="Arial Narrow" w:cs="Arial"/>
          <w:sz w:val="22"/>
          <w:szCs w:val="22"/>
        </w:rPr>
        <w:t>všetky</w:t>
      </w:r>
      <w:r>
        <w:rPr>
          <w:rFonts w:ascii="Arial Narrow" w:hAnsi="Arial Narrow" w:cs="Arial"/>
          <w:sz w:val="22"/>
          <w:szCs w:val="22"/>
        </w:rPr>
        <w:t xml:space="preserve"> tovary, ale aj </w:t>
      </w:r>
      <w:r w:rsidRPr="003C3430">
        <w:rPr>
          <w:rFonts w:ascii="Arial Narrow" w:hAnsi="Arial Narrow" w:cs="Arial"/>
          <w:sz w:val="22"/>
          <w:szCs w:val="22"/>
        </w:rPr>
        <w:t>služby, ktoré súvisia</w:t>
      </w:r>
      <w:r>
        <w:rPr>
          <w:rFonts w:ascii="Arial Narrow" w:hAnsi="Arial Narrow" w:cs="Arial"/>
          <w:sz w:val="22"/>
          <w:szCs w:val="22"/>
        </w:rPr>
        <w:t xml:space="preserve"> s dodávkou a inštaláciou týchto tovarov/zariadení na</w:t>
      </w:r>
      <w:r w:rsidR="00BA1D0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mieste dodania (služby technického špecialistu</w:t>
      </w:r>
      <w:r>
        <w:rPr>
          <w:rFonts w:ascii="Arial Narrow" w:hAnsi="Arial Narrow" w:cs="Arial"/>
          <w:sz w:val="22"/>
          <w:szCs w:val="22"/>
          <w:lang w:val="en-US"/>
        </w:rPr>
        <w:t>)</w:t>
      </w:r>
      <w:r w:rsidRPr="003C3430">
        <w:rPr>
          <w:rFonts w:ascii="Arial Narrow" w:hAnsi="Arial Narrow" w:cs="Arial"/>
          <w:sz w:val="22"/>
          <w:szCs w:val="22"/>
        </w:rPr>
        <w:t xml:space="preserve">, </w:t>
      </w:r>
      <w:r w:rsidR="007D5F20">
        <w:rPr>
          <w:rFonts w:ascii="Arial Narrow" w:hAnsi="Arial Narrow" w:cs="Arial"/>
          <w:sz w:val="22"/>
          <w:szCs w:val="22"/>
        </w:rPr>
        <w:t>boli zabezpečené</w:t>
      </w:r>
      <w:r w:rsidRPr="003C3430">
        <w:rPr>
          <w:rFonts w:ascii="Arial Narrow" w:hAnsi="Arial Narrow" w:cs="Arial"/>
          <w:sz w:val="22"/>
          <w:szCs w:val="22"/>
        </w:rPr>
        <w:t xml:space="preserve"> jedným kompetentným </w:t>
      </w:r>
      <w:r>
        <w:rPr>
          <w:rFonts w:ascii="Arial Narrow" w:hAnsi="Arial Narrow" w:cs="Arial"/>
          <w:sz w:val="22"/>
          <w:szCs w:val="22"/>
        </w:rPr>
        <w:t>dodávateľom.</w:t>
      </w:r>
    </w:p>
    <w:p w:rsidR="00A325AE" w:rsidRPr="00F43FE5" w:rsidRDefault="00A325AE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Takto vymedzené obstaranie </w:t>
      </w:r>
      <w:r>
        <w:rPr>
          <w:rFonts w:ascii="Arial Narrow" w:hAnsi="Arial Narrow" w:cs="Arial"/>
          <w:sz w:val="22"/>
          <w:szCs w:val="22"/>
        </w:rPr>
        <w:t>tovarov</w:t>
      </w:r>
      <w:r w:rsidRPr="003C3430">
        <w:rPr>
          <w:rFonts w:ascii="Arial Narrow" w:hAnsi="Arial Narrow" w:cs="Arial"/>
          <w:sz w:val="22"/>
          <w:szCs w:val="22"/>
        </w:rPr>
        <w:t xml:space="preserve"> (bez ďalšieho delenia na samostatné časti) predstavuje zároveň tzv.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best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(</w:t>
      </w:r>
      <w:r w:rsidR="00921E54">
        <w:rPr>
          <w:rFonts w:ascii="Arial Narrow" w:hAnsi="Arial Narrow" w:cs="Arial"/>
          <w:sz w:val="22"/>
          <w:szCs w:val="22"/>
        </w:rPr>
        <w:t>najlepšie skúsenosti</w:t>
      </w:r>
      <w:r w:rsidRPr="003C3430">
        <w:rPr>
          <w:rFonts w:ascii="Arial Narrow" w:hAnsi="Arial Narrow" w:cs="Arial"/>
          <w:sz w:val="22"/>
          <w:szCs w:val="22"/>
        </w:rPr>
        <w:t>) na relevantnom trhu.</w:t>
      </w:r>
    </w:p>
    <w:p w:rsidR="00A656AC" w:rsidRPr="00F43FE5" w:rsidRDefault="00A325AE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Zároveň sú predmetné </w:t>
      </w:r>
      <w:r>
        <w:rPr>
          <w:rFonts w:ascii="Arial Narrow" w:hAnsi="Arial Narrow" w:cs="Arial"/>
          <w:sz w:val="22"/>
          <w:szCs w:val="22"/>
        </w:rPr>
        <w:t>tovary/zariadenia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3430">
        <w:rPr>
          <w:rFonts w:ascii="Arial Narrow" w:hAnsi="Arial Narrow" w:cs="Arial"/>
          <w:sz w:val="22"/>
          <w:szCs w:val="22"/>
        </w:rPr>
        <w:t>uchádzačov, a to najmä vzhľadom na rozsah a špecifickosť zákazky, miesto plnenia a typ zákazník</w:t>
      </w:r>
      <w:r>
        <w:rPr>
          <w:rFonts w:ascii="Arial Narrow" w:hAnsi="Arial Narrow" w:cs="Arial"/>
          <w:sz w:val="22"/>
          <w:szCs w:val="22"/>
        </w:rPr>
        <w:t xml:space="preserve">a. </w:t>
      </w:r>
      <w:r w:rsidR="00A656AC"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2F1E5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lastRenderedPageBreak/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BF2F20" w:rsidRDefault="00A656AC" w:rsidP="002F1E50">
      <w:pPr>
        <w:spacing w:after="120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82" w:rsidRDefault="000D1482" w:rsidP="0073061A">
      <w:r>
        <w:separator/>
      </w:r>
    </w:p>
  </w:endnote>
  <w:endnote w:type="continuationSeparator" w:id="0">
    <w:p w:rsidR="000D1482" w:rsidRDefault="000D1482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82" w:rsidRDefault="000D1482" w:rsidP="0073061A">
      <w:r>
        <w:separator/>
      </w:r>
    </w:p>
  </w:footnote>
  <w:footnote w:type="continuationSeparator" w:id="0">
    <w:p w:rsidR="000D1482" w:rsidRDefault="000D1482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1A" w:rsidRPr="0073061A" w:rsidRDefault="0073061A" w:rsidP="0073061A">
    <w:pPr>
      <w:pStyle w:val="Hlavika"/>
      <w:jc w:val="right"/>
      <w:rPr>
        <w:rFonts w:ascii="Arial Narrow" w:hAnsi="Arial Narrow"/>
        <w:sz w:val="20"/>
      </w:rPr>
    </w:pPr>
    <w:r w:rsidRPr="0073061A">
      <w:rPr>
        <w:rFonts w:ascii="Arial Narrow" w:hAnsi="Arial Narrow"/>
        <w:sz w:val="20"/>
      </w:rPr>
      <w:t>Príloha č. 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8311A"/>
    <w:rsid w:val="000D1482"/>
    <w:rsid w:val="002F1E50"/>
    <w:rsid w:val="00581D36"/>
    <w:rsid w:val="005F2500"/>
    <w:rsid w:val="005F7D73"/>
    <w:rsid w:val="0062473D"/>
    <w:rsid w:val="00626F78"/>
    <w:rsid w:val="00663059"/>
    <w:rsid w:val="0066349D"/>
    <w:rsid w:val="0070289A"/>
    <w:rsid w:val="00703F44"/>
    <w:rsid w:val="0073061A"/>
    <w:rsid w:val="007C371F"/>
    <w:rsid w:val="007D5F20"/>
    <w:rsid w:val="008C69CD"/>
    <w:rsid w:val="008F4B71"/>
    <w:rsid w:val="00900E22"/>
    <w:rsid w:val="00921E54"/>
    <w:rsid w:val="00974834"/>
    <w:rsid w:val="00A325AE"/>
    <w:rsid w:val="00A57700"/>
    <w:rsid w:val="00A656AC"/>
    <w:rsid w:val="00B91656"/>
    <w:rsid w:val="00BA1D0C"/>
    <w:rsid w:val="00BD557C"/>
    <w:rsid w:val="00BF2F20"/>
    <w:rsid w:val="00C335CF"/>
    <w:rsid w:val="00C8347A"/>
    <w:rsid w:val="00C953E9"/>
    <w:rsid w:val="00CB1363"/>
    <w:rsid w:val="00CD4992"/>
    <w:rsid w:val="00D92019"/>
    <w:rsid w:val="00DC360F"/>
    <w:rsid w:val="00EF3536"/>
    <w:rsid w:val="00F143A3"/>
    <w:rsid w:val="00F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B466-97D3-4ACE-BF98-B4DC6D92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2D69-0088-4BC8-82E5-BCE83433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Beáta Škanderová</cp:lastModifiedBy>
  <cp:revision>10</cp:revision>
  <cp:lastPrinted>2019-05-20T10:33:00Z</cp:lastPrinted>
  <dcterms:created xsi:type="dcterms:W3CDTF">2019-05-13T12:53:00Z</dcterms:created>
  <dcterms:modified xsi:type="dcterms:W3CDTF">2019-05-29T10:41:00Z</dcterms:modified>
</cp:coreProperties>
</file>