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671DCB1E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225846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D51BC8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2C46B31D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</w:t>
      </w:r>
      <w:r w:rsidR="00413E7E" w:rsidRPr="00413E7E">
        <w:rPr>
          <w:rFonts w:ascii="Arial" w:eastAsia="Calibri" w:hAnsi="Arial" w:cs="Arial"/>
          <w:b/>
          <w:sz w:val="20"/>
        </w:rPr>
        <w:t>Potraviny</w:t>
      </w:r>
      <w:r w:rsidR="00225846">
        <w:rPr>
          <w:rFonts w:ascii="Arial" w:eastAsia="Calibri" w:hAnsi="Arial" w:cs="Arial"/>
          <w:b/>
          <w:sz w:val="20"/>
        </w:rPr>
        <w:t xml:space="preserve"> 2022/0</w:t>
      </w:r>
      <w:r w:rsidR="00D51BC8">
        <w:rPr>
          <w:rFonts w:ascii="Arial" w:eastAsia="Calibri" w:hAnsi="Arial" w:cs="Arial"/>
          <w:b/>
          <w:sz w:val="20"/>
        </w:rPr>
        <w:t>2</w:t>
      </w:r>
      <w:r w:rsidR="00413E7E" w:rsidRPr="00413E7E">
        <w:rPr>
          <w:rFonts w:ascii="Arial" w:hAnsi="Arial" w:cs="Arial"/>
          <w:b/>
          <w:bCs/>
          <w:sz w:val="20"/>
          <w:szCs w:val="20"/>
        </w:rPr>
        <w:t>,</w:t>
      </w:r>
      <w:r w:rsidR="005156D7" w:rsidRPr="00413E7E">
        <w:rPr>
          <w:rFonts w:ascii="Arial" w:hAnsi="Arial" w:cs="Arial"/>
          <w:b/>
          <w:bCs/>
          <w:sz w:val="20"/>
          <w:szCs w:val="20"/>
        </w:rPr>
        <w:t xml:space="preserve"> </w:t>
      </w:r>
      <w:r w:rsidR="005156D7" w:rsidRPr="00A839DD">
        <w:rPr>
          <w:rFonts w:ascii="Arial" w:hAnsi="Arial" w:cs="Arial"/>
          <w:b/>
          <w:bCs/>
          <w:sz w:val="20"/>
          <w:szCs w:val="20"/>
        </w:rPr>
        <w:t xml:space="preserve">Časť A – </w:t>
      </w:r>
      <w:r w:rsidR="00A839DD">
        <w:rPr>
          <w:rFonts w:ascii="Arial" w:hAnsi="Arial" w:cs="Arial"/>
          <w:b/>
          <w:bCs/>
          <w:sz w:val="20"/>
          <w:szCs w:val="20"/>
        </w:rPr>
        <w:t>Mrazené polotovary, ryby a zelenina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71BADA1C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58FDA0A3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322AF4" w:rsidRPr="00D7029D">
        <w:rPr>
          <w:rFonts w:ascii="Arial" w:hAnsi="Arial" w:cs="Arial"/>
          <w:bCs/>
          <w:sz w:val="20"/>
          <w:szCs w:val="20"/>
          <w:u w:val="single"/>
        </w:rPr>
        <w:t>A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5E69DF4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32745C5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5B429153" w:rsidR="00731D1A" w:rsidRPr="00EE0484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54514A91" w14:textId="77777777" w:rsidR="00EE0484" w:rsidRPr="008E6C99" w:rsidRDefault="00EE0484" w:rsidP="00EE0484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4DA683A0" w14:textId="77777777" w:rsidR="00EE0484" w:rsidRPr="00802B8B" w:rsidRDefault="00EE0484" w:rsidP="00EE0484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081480FF" w14:textId="77777777" w:rsidR="00EE0484" w:rsidRPr="00802B8B" w:rsidRDefault="00EE0484" w:rsidP="00EE0484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38F162CD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0C15FFB0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u w:val="single"/>
          <w:lang w:val="sk-SK"/>
        </w:rPr>
        <w:t>A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lastRenderedPageBreak/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1BDDA1B3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="00AE78D0">
        <w:rPr>
          <w:rFonts w:ascii="Arial" w:hAnsi="Arial" w:cs="Arial"/>
          <w:sz w:val="20"/>
          <w:szCs w:val="20"/>
        </w:rPr>
        <w:t xml:space="preserve">meno, telefón, </w:t>
      </w:r>
      <w:r w:rsidRPr="0030719F">
        <w:rPr>
          <w:rFonts w:ascii="Arial" w:hAnsi="Arial" w:cs="Arial"/>
          <w:sz w:val="20"/>
          <w:szCs w:val="20"/>
        </w:rPr>
        <w:t>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68B1A965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537F7F31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> tejto rámcovej dohody,</w:t>
      </w:r>
    </w:p>
    <w:p w14:paraId="15B4062D" w14:textId="25BFDEDB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375F5A92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767B931B" w14:textId="7FE927CD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AE0256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15694F0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5738A92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D7029D">
        <w:rPr>
          <w:sz w:val="20"/>
        </w:rPr>
        <w:t>ust</w:t>
      </w:r>
      <w:proofErr w:type="spellEnd"/>
      <w:r w:rsidRPr="00D7029D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AE3E22" w:rsidRPr="00D7029D">
        <w:rPr>
          <w:sz w:val="20"/>
          <w:u w:val="single"/>
        </w:rPr>
        <w:t>A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1D215D52" w14:textId="77777777" w:rsidR="00034BD4" w:rsidRDefault="00034BD4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73C02E8" w14:textId="77777777" w:rsidR="00034BD4" w:rsidRDefault="00034BD4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0D537F01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29DBD556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C17EDE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718B53D4" w14:textId="77777777" w:rsidR="00EA3C17" w:rsidRPr="00014A18" w:rsidRDefault="00EA3C17" w:rsidP="00EA3C17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2C2399FF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4A5B12">
        <w:rPr>
          <w:rFonts w:ascii="Arial" w:hAnsi="Arial" w:cs="Arial"/>
          <w:sz w:val="20"/>
          <w:u w:val="single"/>
        </w:rPr>
        <w:t>Prílohu č. 2</w:t>
      </w:r>
      <w:r w:rsidR="00AE3E22" w:rsidRPr="004A5B12">
        <w:rPr>
          <w:rFonts w:ascii="Arial" w:hAnsi="Arial" w:cs="Arial"/>
          <w:sz w:val="20"/>
          <w:u w:val="single"/>
          <w:lang w:val="sk-SK"/>
        </w:rPr>
        <w:t>A</w:t>
      </w:r>
      <w:r w:rsidRPr="004A5B12">
        <w:rPr>
          <w:rFonts w:ascii="Arial" w:hAnsi="Arial" w:cs="Arial"/>
          <w:sz w:val="20"/>
        </w:rPr>
        <w:t xml:space="preserve"> tejto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82B3DF0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A15FFE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A15FFE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6D14ED82" w14:textId="77777777" w:rsidR="008A2AA1" w:rsidRDefault="008A2AA1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2009607" w14:textId="4CFB66A2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590E3F">
        <w:rPr>
          <w:sz w:val="20"/>
        </w:rPr>
        <w:t>I</w:t>
      </w:r>
      <w:r w:rsidRPr="00590E3F">
        <w:rPr>
          <w:sz w:val="20"/>
        </w:rPr>
        <w:t xml:space="preserve">V ods. 2 tejto dohody. </w:t>
      </w:r>
      <w:r w:rsidR="00EB4697" w:rsidRPr="00590E3F">
        <w:rPr>
          <w:sz w:val="20"/>
        </w:rPr>
        <w:t xml:space="preserve">V prípade, ak počas platnosti rámcovej dohody, t. j. v lehote 24 mesiacov odo dňa jej účinnosti,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699F4E01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AE3E22" w:rsidRPr="00D7029D">
        <w:rPr>
          <w:rFonts w:ascii="Arial" w:hAnsi="Arial" w:cs="Arial"/>
          <w:sz w:val="20"/>
          <w:szCs w:val="20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A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225846">
        <w:rPr>
          <w:rFonts w:ascii="Arial" w:hAnsi="Arial" w:cs="Arial"/>
          <w:sz w:val="20"/>
          <w:szCs w:val="20"/>
        </w:rPr>
        <w:t>M</w:t>
      </w:r>
      <w:r w:rsidR="00D56688">
        <w:rPr>
          <w:rFonts w:ascii="Arial" w:hAnsi="Arial" w:cs="Arial"/>
          <w:sz w:val="20"/>
          <w:szCs w:val="20"/>
        </w:rPr>
        <w:t>razené polotovary, ryby a zelenina</w:t>
      </w:r>
    </w:p>
    <w:p w14:paraId="00646931" w14:textId="5587B74E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AE3E22" w:rsidRPr="00D7029D">
        <w:rPr>
          <w:rFonts w:ascii="Arial" w:hAnsi="Arial" w:cs="Arial"/>
          <w:sz w:val="20"/>
          <w:lang w:val="sk-SK"/>
        </w:rPr>
        <w:t>A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2B2F42FC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E3E22" w:rsidRPr="00411519">
        <w:rPr>
          <w:rFonts w:ascii="Arial" w:hAnsi="Arial" w:cs="Arial"/>
          <w:spacing w:val="-3"/>
          <w:sz w:val="18"/>
          <w:szCs w:val="18"/>
        </w:rPr>
        <w:t>A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6756C0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AE3E22">
        <w:rPr>
          <w:rFonts w:ascii="Arial" w:hAnsi="Arial" w:cs="Arial"/>
          <w:spacing w:val="-1"/>
          <w:sz w:val="20"/>
          <w:u w:val="single"/>
        </w:rPr>
        <w:t>A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- </w:t>
      </w:r>
      <w:r w:rsidR="00AE3E22" w:rsidRPr="00D7029D">
        <w:rPr>
          <w:rFonts w:ascii="Arial" w:hAnsi="Arial" w:cs="Arial"/>
          <w:spacing w:val="-1"/>
          <w:sz w:val="20"/>
          <w:u w:val="single"/>
        </w:rPr>
        <w:t>Časť A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4FD1871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E3E22">
        <w:rPr>
          <w:rFonts w:ascii="Arial" w:hAnsi="Arial" w:cs="Arial"/>
          <w:sz w:val="18"/>
          <w:szCs w:val="18"/>
        </w:rPr>
        <w:t>A</w:t>
      </w:r>
    </w:p>
    <w:p w14:paraId="4781F0D6" w14:textId="77777777" w:rsidR="00773C03" w:rsidRPr="00773C03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730A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773C03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601BC6DD" w:rsidR="00324ACD" w:rsidRPr="00413E7E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 w:rsidRPr="00413E7E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D56688">
        <w:rPr>
          <w:rFonts w:ascii="Arial" w:hAnsi="Arial" w:cs="Arial"/>
          <w:b/>
          <w:iCs/>
          <w:sz w:val="22"/>
          <w:szCs w:val="22"/>
        </w:rPr>
        <w:t>2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B0281C" w:rsidRPr="00413E7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55E834C6" w:rsidR="00616134" w:rsidRPr="00413E7E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</w:rPr>
        <w:tab/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Časť A </w:t>
      </w:r>
      <w:r w:rsidR="00D56688">
        <w:rPr>
          <w:rFonts w:ascii="Arial" w:hAnsi="Arial" w:cs="Arial"/>
          <w:b/>
          <w:iCs/>
          <w:sz w:val="22"/>
          <w:szCs w:val="22"/>
        </w:rPr>
        <w:t>–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225846">
        <w:rPr>
          <w:rFonts w:ascii="Arial" w:hAnsi="Arial" w:cs="Arial"/>
          <w:b/>
          <w:iCs/>
          <w:sz w:val="22"/>
          <w:szCs w:val="22"/>
        </w:rPr>
        <w:t>M</w:t>
      </w:r>
      <w:r w:rsidR="00D56688">
        <w:rPr>
          <w:rFonts w:ascii="Arial" w:hAnsi="Arial" w:cs="Arial"/>
          <w:b/>
          <w:iCs/>
          <w:sz w:val="22"/>
          <w:szCs w:val="22"/>
        </w:rPr>
        <w:t>razené polotovary, ryby a zelenina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F242C" w14:textId="77777777" w:rsidR="00520C6C" w:rsidRDefault="00520C6C" w:rsidP="003278FB">
      <w:r>
        <w:separator/>
      </w:r>
    </w:p>
  </w:endnote>
  <w:endnote w:type="continuationSeparator" w:id="0">
    <w:p w14:paraId="18D38B5C" w14:textId="77777777" w:rsidR="00520C6C" w:rsidRDefault="00520C6C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4FD2DAE7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AB003B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23CF5" w14:textId="77777777" w:rsidR="00520C6C" w:rsidRDefault="00520C6C" w:rsidP="003278FB">
      <w:r>
        <w:separator/>
      </w:r>
    </w:p>
  </w:footnote>
  <w:footnote w:type="continuationSeparator" w:id="0">
    <w:p w14:paraId="7BC7A267" w14:textId="77777777" w:rsidR="00520C6C" w:rsidRDefault="00520C6C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34BD4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10944"/>
    <w:rsid w:val="00174E5B"/>
    <w:rsid w:val="00190435"/>
    <w:rsid w:val="001B0918"/>
    <w:rsid w:val="001C7A2B"/>
    <w:rsid w:val="001D3C63"/>
    <w:rsid w:val="00225846"/>
    <w:rsid w:val="00257916"/>
    <w:rsid w:val="00263EE3"/>
    <w:rsid w:val="00270221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20C6C"/>
    <w:rsid w:val="00535F97"/>
    <w:rsid w:val="00572BA3"/>
    <w:rsid w:val="00577533"/>
    <w:rsid w:val="00590E3F"/>
    <w:rsid w:val="00592790"/>
    <w:rsid w:val="005A2A90"/>
    <w:rsid w:val="005B62B3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6E0"/>
    <w:rsid w:val="00720AFE"/>
    <w:rsid w:val="00726F23"/>
    <w:rsid w:val="00731D1A"/>
    <w:rsid w:val="00733B2E"/>
    <w:rsid w:val="00773C03"/>
    <w:rsid w:val="00786917"/>
    <w:rsid w:val="00794D92"/>
    <w:rsid w:val="007B6645"/>
    <w:rsid w:val="007F498E"/>
    <w:rsid w:val="00801A50"/>
    <w:rsid w:val="00803D83"/>
    <w:rsid w:val="00821B84"/>
    <w:rsid w:val="008867B6"/>
    <w:rsid w:val="008A2AA1"/>
    <w:rsid w:val="008A5676"/>
    <w:rsid w:val="008C58EF"/>
    <w:rsid w:val="008F44DA"/>
    <w:rsid w:val="009429BB"/>
    <w:rsid w:val="0096050C"/>
    <w:rsid w:val="00973D15"/>
    <w:rsid w:val="00997F5B"/>
    <w:rsid w:val="009A0B53"/>
    <w:rsid w:val="009C7083"/>
    <w:rsid w:val="009D00A1"/>
    <w:rsid w:val="009E140E"/>
    <w:rsid w:val="009E473D"/>
    <w:rsid w:val="00A15FFE"/>
    <w:rsid w:val="00A373BE"/>
    <w:rsid w:val="00A46B40"/>
    <w:rsid w:val="00A839DD"/>
    <w:rsid w:val="00A917CE"/>
    <w:rsid w:val="00A928C6"/>
    <w:rsid w:val="00AA56A9"/>
    <w:rsid w:val="00AB003B"/>
    <w:rsid w:val="00AE0256"/>
    <w:rsid w:val="00AE3E22"/>
    <w:rsid w:val="00AE78D0"/>
    <w:rsid w:val="00B0281C"/>
    <w:rsid w:val="00B4664B"/>
    <w:rsid w:val="00B86B8E"/>
    <w:rsid w:val="00BA01EA"/>
    <w:rsid w:val="00BC226D"/>
    <w:rsid w:val="00BD18BA"/>
    <w:rsid w:val="00C01F38"/>
    <w:rsid w:val="00C144C7"/>
    <w:rsid w:val="00C17EDE"/>
    <w:rsid w:val="00C40C7C"/>
    <w:rsid w:val="00C524C9"/>
    <w:rsid w:val="00C814B9"/>
    <w:rsid w:val="00CA4107"/>
    <w:rsid w:val="00CB631B"/>
    <w:rsid w:val="00CD6636"/>
    <w:rsid w:val="00D22E09"/>
    <w:rsid w:val="00D3199C"/>
    <w:rsid w:val="00D51BC8"/>
    <w:rsid w:val="00D51CEB"/>
    <w:rsid w:val="00D56688"/>
    <w:rsid w:val="00D7029D"/>
    <w:rsid w:val="00DA0D86"/>
    <w:rsid w:val="00DA1302"/>
    <w:rsid w:val="00DC332A"/>
    <w:rsid w:val="00DD27DF"/>
    <w:rsid w:val="00DD4C97"/>
    <w:rsid w:val="00DD7E65"/>
    <w:rsid w:val="00DF1C88"/>
    <w:rsid w:val="00E22153"/>
    <w:rsid w:val="00E23575"/>
    <w:rsid w:val="00E6544C"/>
    <w:rsid w:val="00E66133"/>
    <w:rsid w:val="00E721C0"/>
    <w:rsid w:val="00E75CDE"/>
    <w:rsid w:val="00E86544"/>
    <w:rsid w:val="00E9027E"/>
    <w:rsid w:val="00EA3C17"/>
    <w:rsid w:val="00EB4697"/>
    <w:rsid w:val="00ED0FD5"/>
    <w:rsid w:val="00EE0484"/>
    <w:rsid w:val="00EE1BE9"/>
    <w:rsid w:val="00EE2EA9"/>
    <w:rsid w:val="00EE4A38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80</cp:revision>
  <dcterms:created xsi:type="dcterms:W3CDTF">2020-03-02T14:23:00Z</dcterms:created>
  <dcterms:modified xsi:type="dcterms:W3CDTF">2022-03-22T07:52:00Z</dcterms:modified>
</cp:coreProperties>
</file>