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7F5E9938" w14:textId="77777777" w:rsidR="00E00E4F" w:rsidRPr="00E43EC4" w:rsidRDefault="00E00E4F" w:rsidP="00E00E4F">
      <w:pPr>
        <w:jc w:val="center"/>
        <w:rPr>
          <w:rFonts w:ascii="Arial Narrow" w:hAnsi="Arial Narrow"/>
          <w:b/>
          <w:sz w:val="28"/>
          <w:szCs w:val="28"/>
        </w:rPr>
      </w:pPr>
      <w:r w:rsidRPr="00E43EC4">
        <w:rPr>
          <w:rFonts w:ascii="Arial Narrow" w:hAnsi="Arial Narrow"/>
          <w:b/>
          <w:sz w:val="28"/>
          <w:szCs w:val="28"/>
        </w:rPr>
        <w:t>Opis predmetu zákazky</w:t>
      </w:r>
    </w:p>
    <w:p w14:paraId="6B28E311" w14:textId="258D4AE7" w:rsidR="00E00E4F" w:rsidRDefault="00774762" w:rsidP="00E00E4F">
      <w:pPr>
        <w:widowControl w:val="0"/>
        <w:autoSpaceDE w:val="0"/>
        <w:autoSpaceDN w:val="0"/>
        <w:adjustRightInd w:val="0"/>
        <w:jc w:val="center"/>
        <w:rPr>
          <w:rFonts w:ascii="Arial Narrow" w:hAnsi="Arial Narrow"/>
          <w:b/>
          <w:sz w:val="28"/>
          <w:szCs w:val="28"/>
        </w:rPr>
      </w:pPr>
      <w:r>
        <w:rPr>
          <w:rFonts w:ascii="Arial Narrow" w:hAnsi="Arial Narrow"/>
          <w:b/>
          <w:sz w:val="28"/>
          <w:szCs w:val="28"/>
        </w:rPr>
        <w:t>Spektrometre</w:t>
      </w:r>
    </w:p>
    <w:p w14:paraId="1A9BE868" w14:textId="77777777" w:rsidR="00E00E4F" w:rsidRDefault="00E00E4F" w:rsidP="00E00E4F">
      <w:pPr>
        <w:widowControl w:val="0"/>
        <w:autoSpaceDE w:val="0"/>
        <w:autoSpaceDN w:val="0"/>
        <w:adjustRightInd w:val="0"/>
        <w:jc w:val="center"/>
        <w:rPr>
          <w:rFonts w:ascii="Arial Narrow" w:hAnsi="Arial Narrow"/>
          <w:b/>
          <w:sz w:val="28"/>
          <w:szCs w:val="28"/>
        </w:rPr>
      </w:pPr>
    </w:p>
    <w:p w14:paraId="402EC844" w14:textId="58635063" w:rsidR="00E00E4F" w:rsidRDefault="00E00E4F" w:rsidP="00AA7AFF">
      <w:pPr>
        <w:widowControl w:val="0"/>
        <w:autoSpaceDE w:val="0"/>
        <w:autoSpaceDN w:val="0"/>
        <w:adjustRightInd w:val="0"/>
        <w:jc w:val="center"/>
        <w:rPr>
          <w:rFonts w:ascii="Arial Narrow" w:hAnsi="Arial Narrow" w:cs="Arial Narrow"/>
          <w:b/>
          <w:bCs/>
        </w:rPr>
      </w:pPr>
      <w:r>
        <w:rPr>
          <w:rFonts w:ascii="Arial Narrow" w:hAnsi="Arial Narrow"/>
          <w:b/>
          <w:sz w:val="28"/>
          <w:szCs w:val="28"/>
        </w:rPr>
        <w:t xml:space="preserve">Časť 2 – </w:t>
      </w:r>
      <w:r w:rsidR="00774762">
        <w:rPr>
          <w:rFonts w:ascii="Arial Narrow" w:hAnsi="Arial Narrow"/>
          <w:b/>
          <w:sz w:val="28"/>
          <w:szCs w:val="28"/>
        </w:rPr>
        <w:t>Ručný FTIR spektrometer na detekciu výbušnín</w:t>
      </w:r>
    </w:p>
    <w:p w14:paraId="5DC5B563" w14:textId="77777777" w:rsidR="00E00E4F" w:rsidRDefault="00E00E4F" w:rsidP="00E00E4F">
      <w:pPr>
        <w:shd w:val="clear" w:color="auto" w:fill="FFFFFF"/>
        <w:tabs>
          <w:tab w:val="clear" w:pos="2160"/>
          <w:tab w:val="clear" w:pos="2880"/>
          <w:tab w:val="clear" w:pos="4500"/>
        </w:tabs>
        <w:spacing w:after="120"/>
        <w:rPr>
          <w:rFonts w:ascii="Arial Narrow" w:hAnsi="Arial Narrow"/>
          <w:b/>
          <w:sz w:val="22"/>
          <w:szCs w:val="22"/>
        </w:rPr>
      </w:pPr>
    </w:p>
    <w:p w14:paraId="79DCB236" w14:textId="4B14EC73" w:rsidR="00C97880" w:rsidRPr="00D5759A" w:rsidRDefault="00C97880" w:rsidP="001856F5">
      <w:pPr>
        <w:pStyle w:val="Odsekzoznamu"/>
        <w:numPr>
          <w:ilvl w:val="1"/>
          <w:numId w:val="26"/>
        </w:numPr>
        <w:shd w:val="clear" w:color="auto" w:fill="FFFFFF"/>
        <w:tabs>
          <w:tab w:val="clear" w:pos="2160"/>
          <w:tab w:val="clear" w:pos="2880"/>
          <w:tab w:val="clear" w:pos="4500"/>
        </w:tabs>
        <w:spacing w:after="120"/>
        <w:ind w:left="426" w:hanging="426"/>
        <w:rPr>
          <w:rFonts w:ascii="Arial Narrow" w:hAnsi="Arial Narrow"/>
          <w:b/>
          <w:sz w:val="24"/>
          <w:szCs w:val="24"/>
        </w:rPr>
      </w:pPr>
      <w:r w:rsidRPr="00D5759A">
        <w:rPr>
          <w:rFonts w:ascii="Arial Narrow" w:hAnsi="Arial Narrow"/>
          <w:b/>
          <w:sz w:val="24"/>
          <w:szCs w:val="24"/>
        </w:rPr>
        <w:t>Všeobecné vymedzenie predmetu zákazky</w:t>
      </w:r>
    </w:p>
    <w:p w14:paraId="046F1FBD" w14:textId="77777777" w:rsidR="00774762" w:rsidRDefault="00774762" w:rsidP="00774762">
      <w:pPr>
        <w:pStyle w:val="Textpoznmkypodiarou"/>
        <w:spacing w:before="120" w:after="120"/>
        <w:jc w:val="both"/>
        <w:rPr>
          <w:rFonts w:ascii="Arial Narrow" w:hAnsi="Arial Narrow"/>
          <w:noProof/>
          <w:sz w:val="24"/>
          <w:szCs w:val="24"/>
          <w:lang w:val="sk-SK"/>
        </w:rPr>
      </w:pPr>
      <w:r w:rsidRPr="00774762">
        <w:rPr>
          <w:rFonts w:ascii="Arial Narrow" w:hAnsi="Arial Narrow"/>
          <w:noProof/>
          <w:sz w:val="24"/>
          <w:szCs w:val="24"/>
          <w:lang w:val="sk-SK"/>
        </w:rPr>
        <w:t>Prenosný ručný FTIR spektrometer s integrovaným diamantovým ATR pracuje na princípe infračervenej spektroskopie s Fourierovou transformáciou v strednej infračervenej (IČ alebo anglicky IR) oblasti. Je určený na detekciu výbušnín a ich prekurzorov, drog a ich prekurzorov a iných nebezpečných chemických látok (napr. toxické priemyselné chemikálie, bojové chemické látky a pod.) zneužiteľných k páchaniu trestnej činnosti.</w:t>
      </w:r>
    </w:p>
    <w:p w14:paraId="542A8C3F" w14:textId="36214949" w:rsidR="00774762" w:rsidRPr="00774762" w:rsidRDefault="00774762" w:rsidP="00774762">
      <w:pPr>
        <w:pStyle w:val="Textpoznmkypodiarou"/>
        <w:spacing w:before="120" w:after="120"/>
        <w:jc w:val="both"/>
        <w:rPr>
          <w:rFonts w:ascii="Arial Narrow" w:hAnsi="Arial Narrow"/>
          <w:noProof/>
          <w:sz w:val="24"/>
          <w:szCs w:val="24"/>
        </w:rPr>
      </w:pPr>
      <w:r w:rsidRPr="00774762">
        <w:rPr>
          <w:rFonts w:ascii="Arial Narrow" w:hAnsi="Arial Narrow"/>
          <w:noProof/>
          <w:sz w:val="24"/>
          <w:szCs w:val="24"/>
        </w:rPr>
        <w:t>Metóda infračervenej (IČ) spektroskopie je založená na absorpcii IČ žiarenia chemickými väzbami molekúl pri prechode vzorkou. Jednou zo základných techník merania IČ spektier je technika ATR (anglicky Attenuated Total Reflection) využívajúca jeden alebo viacnásobný úplný odraz IČ žiarenia v kryštáli s vysokým indexom lomu (v tomto prípade ide o diamant).</w:t>
      </w:r>
    </w:p>
    <w:p w14:paraId="17DD5566" w14:textId="76B044E8" w:rsidR="00C97880" w:rsidRPr="00C97880" w:rsidRDefault="00C97880" w:rsidP="00774762">
      <w:pPr>
        <w:widowControl w:val="0"/>
        <w:autoSpaceDE w:val="0"/>
        <w:autoSpaceDN w:val="0"/>
        <w:adjustRightInd w:val="0"/>
        <w:spacing w:after="120"/>
        <w:rPr>
          <w:rFonts w:ascii="Arial Narrow" w:hAnsi="Arial Narrow" w:cs="Arial Narrow"/>
          <w:bCs/>
          <w:sz w:val="24"/>
          <w:szCs w:val="24"/>
        </w:rPr>
      </w:pPr>
      <w:r w:rsidRPr="00C97880">
        <w:rPr>
          <w:rFonts w:ascii="Arial Narrow" w:hAnsi="Arial Narrow"/>
          <w:color w:val="000000"/>
          <w:sz w:val="24"/>
          <w:szCs w:val="24"/>
          <w:lang w:eastAsia="sk-SK"/>
        </w:rPr>
        <w:t xml:space="preserve">Predmetom zákazky je zabezpečenie dodávky </w:t>
      </w:r>
      <w:r w:rsidR="00774762">
        <w:rPr>
          <w:rFonts w:ascii="Arial Narrow" w:hAnsi="Arial Narrow"/>
          <w:color w:val="000000"/>
          <w:sz w:val="24"/>
          <w:szCs w:val="24"/>
          <w:lang w:eastAsia="sk-SK"/>
        </w:rPr>
        <w:t>ručných FTIR spe</w:t>
      </w:r>
      <w:r w:rsidR="00B07C84">
        <w:rPr>
          <w:rFonts w:ascii="Arial Narrow" w:hAnsi="Arial Narrow"/>
          <w:color w:val="000000"/>
          <w:sz w:val="24"/>
          <w:szCs w:val="24"/>
          <w:lang w:eastAsia="sk-SK"/>
        </w:rPr>
        <w:t>k</w:t>
      </w:r>
      <w:r w:rsidR="00774762">
        <w:rPr>
          <w:rFonts w:ascii="Arial Narrow" w:hAnsi="Arial Narrow"/>
          <w:color w:val="000000"/>
          <w:sz w:val="24"/>
          <w:szCs w:val="24"/>
          <w:lang w:eastAsia="sk-SK"/>
        </w:rPr>
        <w:t>trometrov na detekciu výbušnín</w:t>
      </w:r>
      <w:r>
        <w:rPr>
          <w:rFonts w:ascii="Arial Narrow" w:hAnsi="Arial Narrow" w:cs="Arial Narrow"/>
          <w:bCs/>
          <w:sz w:val="24"/>
          <w:szCs w:val="24"/>
        </w:rPr>
        <w:t xml:space="preserve"> </w:t>
      </w:r>
      <w:r w:rsidRPr="00C97880">
        <w:rPr>
          <w:rFonts w:ascii="Arial Narrow" w:hAnsi="Arial Narrow"/>
          <w:color w:val="000000"/>
          <w:sz w:val="24"/>
          <w:szCs w:val="24"/>
          <w:lang w:eastAsia="sk-SK"/>
        </w:rPr>
        <w:t>v rozsahu   3 kusov.</w:t>
      </w:r>
    </w:p>
    <w:p w14:paraId="4387F012" w14:textId="77777777" w:rsidR="009F717A" w:rsidRDefault="009F717A" w:rsidP="009F717A">
      <w:pPr>
        <w:jc w:val="both"/>
        <w:rPr>
          <w:rFonts w:ascii="Arial Narrow" w:hAnsi="Arial Narrow"/>
          <w:sz w:val="24"/>
          <w:szCs w:val="24"/>
        </w:rPr>
      </w:pPr>
      <w:r>
        <w:rPr>
          <w:rFonts w:ascii="Arial Narrow" w:hAnsi="Arial Narrow"/>
          <w:sz w:val="24"/>
          <w:szCs w:val="24"/>
          <w:lang w:eastAsia="sk-SK"/>
        </w:rPr>
        <w:t>Súčasťou dodávky je inštalácia, zaškolenie obsluhy a doprava predmetu zákazky do miesta dodania/plnenia, ktorým je:</w:t>
      </w:r>
    </w:p>
    <w:p w14:paraId="411D1382" w14:textId="77777777" w:rsidR="00FA4BC8" w:rsidRDefault="00FA4BC8" w:rsidP="00FA4BC8">
      <w:pPr>
        <w:pStyle w:val="Odsekzoznamu"/>
        <w:ind w:left="360"/>
        <w:jc w:val="both"/>
        <w:rPr>
          <w:rFonts w:ascii="Arial Narrow" w:eastAsia="Calibri" w:hAnsi="Arial Narrow"/>
          <w:sz w:val="24"/>
          <w:szCs w:val="24"/>
          <w:lang w:eastAsia="en-US"/>
        </w:rPr>
      </w:pPr>
      <w:r>
        <w:rPr>
          <w:rFonts w:ascii="Arial Narrow" w:eastAsia="Calibri" w:hAnsi="Arial Narrow"/>
          <w:sz w:val="24"/>
          <w:szCs w:val="24"/>
          <w:lang w:eastAsia="en-US"/>
        </w:rPr>
        <w:t>Kriminalistický a expertízny ústav Policajného zboru</w:t>
      </w:r>
    </w:p>
    <w:p w14:paraId="13824642" w14:textId="77777777" w:rsidR="00FA4BC8" w:rsidRDefault="00FA4BC8" w:rsidP="00FA4BC8">
      <w:pPr>
        <w:pStyle w:val="Odsekzoznamu"/>
        <w:ind w:left="360"/>
        <w:jc w:val="both"/>
        <w:rPr>
          <w:rFonts w:ascii="Arial Narrow" w:eastAsia="Calibri" w:hAnsi="Arial Narrow"/>
          <w:sz w:val="24"/>
          <w:szCs w:val="24"/>
          <w:lang w:eastAsia="en-US"/>
        </w:rPr>
      </w:pPr>
      <w:r>
        <w:rPr>
          <w:rFonts w:ascii="Arial Narrow" w:eastAsia="Calibri" w:hAnsi="Arial Narrow"/>
          <w:sz w:val="24"/>
          <w:szCs w:val="24"/>
          <w:lang w:eastAsia="en-US"/>
        </w:rPr>
        <w:t>- Sklabinská 1, Bratislava (1 kus),</w:t>
      </w:r>
    </w:p>
    <w:p w14:paraId="07CE1843" w14:textId="77777777" w:rsidR="00FA4BC8" w:rsidRDefault="00FA4BC8" w:rsidP="00FA4BC8">
      <w:pPr>
        <w:pStyle w:val="Odsekzoznamu"/>
        <w:ind w:left="360"/>
        <w:jc w:val="both"/>
        <w:rPr>
          <w:rFonts w:ascii="Arial Narrow" w:eastAsia="Calibri" w:hAnsi="Arial Narrow"/>
          <w:sz w:val="24"/>
          <w:szCs w:val="24"/>
          <w:lang w:eastAsia="en-US"/>
        </w:rPr>
      </w:pPr>
      <w:r>
        <w:rPr>
          <w:rFonts w:ascii="Arial Narrow" w:eastAsia="Calibri" w:hAnsi="Arial Narrow"/>
          <w:sz w:val="24"/>
          <w:szCs w:val="24"/>
          <w:lang w:eastAsia="en-US"/>
        </w:rPr>
        <w:t>- Príboj 560, Slovenská Ľupča (1 kus),</w:t>
      </w:r>
    </w:p>
    <w:p w14:paraId="0885845B" w14:textId="77777777" w:rsidR="00FA4BC8" w:rsidRDefault="00FA4BC8" w:rsidP="00FA4BC8">
      <w:pPr>
        <w:pStyle w:val="Odsekzoznamu"/>
        <w:spacing w:after="120"/>
        <w:ind w:left="357"/>
        <w:jc w:val="both"/>
        <w:rPr>
          <w:rFonts w:ascii="Arial Narrow" w:hAnsi="Arial Narrow"/>
          <w:b/>
          <w:sz w:val="24"/>
          <w:szCs w:val="24"/>
        </w:rPr>
      </w:pPr>
      <w:r>
        <w:rPr>
          <w:rFonts w:ascii="Arial Narrow" w:eastAsia="Calibri" w:hAnsi="Arial Narrow"/>
          <w:sz w:val="24"/>
          <w:szCs w:val="24"/>
          <w:lang w:eastAsia="en-US"/>
        </w:rPr>
        <w:t>- Kuzmányho 8, Košice (1 kus).</w:t>
      </w:r>
    </w:p>
    <w:p w14:paraId="5E76DE7E" w14:textId="2BEB141D" w:rsidR="00C97880" w:rsidRPr="001856F5" w:rsidRDefault="00774762" w:rsidP="001856F5">
      <w:pPr>
        <w:pStyle w:val="Odsekzoznamu"/>
        <w:numPr>
          <w:ilvl w:val="1"/>
          <w:numId w:val="26"/>
        </w:numPr>
        <w:ind w:left="426" w:hanging="426"/>
        <w:jc w:val="both"/>
        <w:rPr>
          <w:rFonts w:ascii="Arial Narrow" w:hAnsi="Arial Narrow"/>
          <w:b/>
          <w:sz w:val="24"/>
          <w:szCs w:val="24"/>
        </w:rPr>
      </w:pPr>
      <w:r>
        <w:rPr>
          <w:rFonts w:ascii="Arial Narrow" w:hAnsi="Arial Narrow"/>
          <w:b/>
          <w:sz w:val="24"/>
          <w:szCs w:val="24"/>
        </w:rPr>
        <w:t>Ručný FTIR spektrometer na detekciu výbušnín</w:t>
      </w:r>
    </w:p>
    <w:p w14:paraId="11426C08" w14:textId="77777777" w:rsidR="00C97880" w:rsidRDefault="00C97880" w:rsidP="00C97880">
      <w:pPr>
        <w:jc w:val="both"/>
        <w:rPr>
          <w:rFonts w:ascii="Arial Narrow" w:hAnsi="Arial Narrow"/>
          <w:sz w:val="24"/>
          <w:szCs w:val="24"/>
        </w:rPr>
      </w:pPr>
    </w:p>
    <w:p w14:paraId="3C3723BB" w14:textId="1E2D2469" w:rsidR="00C97880" w:rsidRDefault="00C97880" w:rsidP="00C97880">
      <w:pPr>
        <w:pStyle w:val="Odsekzoznamu"/>
        <w:tabs>
          <w:tab w:val="clear" w:pos="2160"/>
          <w:tab w:val="clear" w:pos="2880"/>
          <w:tab w:val="clear" w:pos="4500"/>
        </w:tabs>
        <w:spacing w:after="160" w:line="259" w:lineRule="auto"/>
        <w:ind w:left="720"/>
        <w:contextualSpacing/>
        <w:rPr>
          <w:rFonts w:ascii="Arial Narrow" w:hAnsi="Arial Narrow"/>
          <w:b/>
          <w:sz w:val="24"/>
          <w:szCs w:val="24"/>
        </w:rPr>
      </w:pPr>
      <w:r w:rsidRPr="00EA3C0F">
        <w:rPr>
          <w:rFonts w:ascii="Arial Narrow" w:hAnsi="Arial Narrow"/>
          <w:b/>
          <w:sz w:val="24"/>
          <w:szCs w:val="24"/>
        </w:rPr>
        <w:t>Stručný opis predmetu zákazky</w:t>
      </w:r>
      <w:r w:rsidR="00493D39">
        <w:rPr>
          <w:rFonts w:ascii="Arial Narrow" w:hAnsi="Arial Narrow"/>
          <w:b/>
          <w:sz w:val="24"/>
          <w:szCs w:val="24"/>
        </w:rPr>
        <w:t xml:space="preserve"> (Požadované minimálne technické parametre</w:t>
      </w:r>
      <w:r w:rsidR="00493D39">
        <w:rPr>
          <w:rFonts w:ascii="Times New Roman" w:hAnsi="Times New Roman"/>
          <w:b/>
          <w:sz w:val="24"/>
          <w:szCs w:val="24"/>
        </w:rPr>
        <w:t>):</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5254"/>
      </w:tblGrid>
      <w:tr w:rsidR="00774762" w:rsidRPr="00D0172C" w14:paraId="14981ECE" w14:textId="77777777" w:rsidTr="00774762">
        <w:tc>
          <w:tcPr>
            <w:tcW w:w="9387" w:type="dxa"/>
            <w:gridSpan w:val="2"/>
            <w:shd w:val="clear" w:color="auto" w:fill="auto"/>
          </w:tcPr>
          <w:p w14:paraId="29DC91D8" w14:textId="77777777" w:rsidR="00774762" w:rsidRPr="00774762" w:rsidRDefault="00774762" w:rsidP="006347CA">
            <w:pPr>
              <w:pStyle w:val="Textpoznmkypodiarou"/>
              <w:jc w:val="center"/>
              <w:rPr>
                <w:rFonts w:ascii="Arial Narrow" w:hAnsi="Arial Narrow"/>
                <w:b/>
                <w:noProof/>
                <w:sz w:val="24"/>
                <w:lang w:val="sk-SK"/>
              </w:rPr>
            </w:pPr>
            <w:r w:rsidRPr="00774762">
              <w:rPr>
                <w:rFonts w:ascii="Arial Narrow" w:hAnsi="Arial Narrow"/>
                <w:b/>
                <w:noProof/>
                <w:sz w:val="24"/>
                <w:lang w:val="sk-SK"/>
              </w:rPr>
              <w:t>Minimálne požiadavky na technické prevedenie ručného FTIR spektrometra</w:t>
            </w:r>
            <w:r w:rsidRPr="00774762">
              <w:rPr>
                <w:rFonts w:ascii="Arial Narrow" w:hAnsi="Arial Narrow"/>
                <w:b/>
                <w:sz w:val="24"/>
                <w:lang w:val="sk-SK"/>
              </w:rPr>
              <w:t xml:space="preserve"> pripúšťa sa ekvivalentné riešenie, ktoré poskytuje prístroj rovnakých alebo kvalitatívne lepších technických parametrov</w:t>
            </w:r>
          </w:p>
        </w:tc>
      </w:tr>
      <w:tr w:rsidR="00774762" w:rsidRPr="00D0172C" w14:paraId="50D84912" w14:textId="77777777" w:rsidTr="00774762">
        <w:tc>
          <w:tcPr>
            <w:tcW w:w="4133" w:type="dxa"/>
            <w:shd w:val="clear" w:color="auto" w:fill="auto"/>
          </w:tcPr>
          <w:p w14:paraId="2AE28B7F" w14:textId="77777777" w:rsidR="00774762" w:rsidRPr="00774762" w:rsidRDefault="00774762" w:rsidP="006347CA">
            <w:pPr>
              <w:pStyle w:val="Textpoznmkypodiarou"/>
              <w:jc w:val="center"/>
              <w:rPr>
                <w:rFonts w:ascii="Arial Narrow" w:hAnsi="Arial Narrow"/>
                <w:b/>
                <w:noProof/>
                <w:sz w:val="24"/>
                <w:lang w:val="sk-SK"/>
              </w:rPr>
            </w:pPr>
            <w:r w:rsidRPr="00774762">
              <w:rPr>
                <w:rFonts w:ascii="Arial Narrow" w:hAnsi="Arial Narrow"/>
                <w:b/>
                <w:noProof/>
                <w:sz w:val="24"/>
                <w:lang w:val="sk-SK"/>
              </w:rPr>
              <w:t>Parameter</w:t>
            </w:r>
          </w:p>
        </w:tc>
        <w:tc>
          <w:tcPr>
            <w:tcW w:w="5254" w:type="dxa"/>
            <w:shd w:val="clear" w:color="auto" w:fill="auto"/>
          </w:tcPr>
          <w:p w14:paraId="500E45A0" w14:textId="77777777" w:rsidR="00774762" w:rsidRPr="00774762" w:rsidRDefault="00774762" w:rsidP="006347CA">
            <w:pPr>
              <w:pStyle w:val="Textpoznmkypodiarou"/>
              <w:jc w:val="center"/>
              <w:rPr>
                <w:rFonts w:ascii="Arial Narrow" w:hAnsi="Arial Narrow"/>
                <w:b/>
                <w:noProof/>
                <w:sz w:val="24"/>
                <w:lang w:val="sk-SK"/>
              </w:rPr>
            </w:pPr>
            <w:r w:rsidRPr="00774762">
              <w:rPr>
                <w:rFonts w:ascii="Arial Narrow" w:hAnsi="Arial Narrow"/>
                <w:b/>
                <w:noProof/>
                <w:sz w:val="24"/>
                <w:lang w:val="sk-SK"/>
              </w:rPr>
              <w:t>Špecifikácia</w:t>
            </w:r>
          </w:p>
        </w:tc>
      </w:tr>
      <w:tr w:rsidR="00774762" w:rsidRPr="00D0172C" w14:paraId="4951A848" w14:textId="77777777" w:rsidTr="00774762">
        <w:tc>
          <w:tcPr>
            <w:tcW w:w="4133" w:type="dxa"/>
            <w:shd w:val="clear" w:color="auto" w:fill="auto"/>
          </w:tcPr>
          <w:p w14:paraId="1478167A" w14:textId="77777777" w:rsidR="00774762" w:rsidRPr="00774762" w:rsidRDefault="00774762" w:rsidP="006347CA">
            <w:pPr>
              <w:pStyle w:val="Textpoznmkypodiarou"/>
              <w:rPr>
                <w:rFonts w:ascii="Arial Narrow" w:hAnsi="Arial Narrow"/>
                <w:b/>
                <w:noProof/>
                <w:sz w:val="24"/>
                <w:lang w:val="sk-SK"/>
              </w:rPr>
            </w:pPr>
            <w:r w:rsidRPr="00774762">
              <w:rPr>
                <w:rFonts w:ascii="Arial Narrow" w:hAnsi="Arial Narrow"/>
                <w:noProof/>
                <w:lang w:val="sk-SK"/>
              </w:rPr>
              <w:t>spektrálny rozsah</w:t>
            </w:r>
          </w:p>
        </w:tc>
        <w:tc>
          <w:tcPr>
            <w:tcW w:w="5254" w:type="dxa"/>
            <w:shd w:val="clear" w:color="auto" w:fill="auto"/>
          </w:tcPr>
          <w:p w14:paraId="5E02FF1D" w14:textId="77777777" w:rsidR="00774762" w:rsidRPr="00774762" w:rsidRDefault="00774762" w:rsidP="006347CA">
            <w:pPr>
              <w:jc w:val="both"/>
              <w:rPr>
                <w:rFonts w:ascii="Arial Narrow" w:hAnsi="Arial Narrow"/>
                <w:b/>
                <w:noProof/>
              </w:rPr>
            </w:pPr>
            <w:r w:rsidRPr="00774762">
              <w:rPr>
                <w:rFonts w:ascii="Arial Narrow" w:hAnsi="Arial Narrow"/>
                <w:noProof/>
              </w:rPr>
              <w:t>minimálne 650 - 4000 cm</w:t>
            </w:r>
            <w:r w:rsidRPr="00774762">
              <w:rPr>
                <w:rFonts w:ascii="Arial Narrow" w:hAnsi="Arial Narrow"/>
                <w:noProof/>
                <w:vertAlign w:val="superscript"/>
              </w:rPr>
              <w:t>-1</w:t>
            </w:r>
          </w:p>
        </w:tc>
      </w:tr>
      <w:tr w:rsidR="00774762" w:rsidRPr="00D0172C" w14:paraId="3ED07822" w14:textId="77777777" w:rsidTr="00774762">
        <w:tc>
          <w:tcPr>
            <w:tcW w:w="4133" w:type="dxa"/>
            <w:shd w:val="clear" w:color="auto" w:fill="auto"/>
          </w:tcPr>
          <w:p w14:paraId="5CB1BAFB" w14:textId="77777777" w:rsidR="00774762" w:rsidRPr="00774762" w:rsidRDefault="00774762" w:rsidP="006347CA">
            <w:pPr>
              <w:jc w:val="both"/>
              <w:rPr>
                <w:rFonts w:ascii="Arial Narrow" w:hAnsi="Arial Narrow"/>
                <w:b/>
                <w:noProof/>
              </w:rPr>
            </w:pPr>
            <w:r w:rsidRPr="00774762">
              <w:rPr>
                <w:rFonts w:ascii="Arial Narrow" w:hAnsi="Arial Narrow"/>
                <w:noProof/>
              </w:rPr>
              <w:t xml:space="preserve">spektrálne rozlíšenie </w:t>
            </w:r>
          </w:p>
        </w:tc>
        <w:tc>
          <w:tcPr>
            <w:tcW w:w="5254" w:type="dxa"/>
            <w:shd w:val="clear" w:color="auto" w:fill="auto"/>
          </w:tcPr>
          <w:p w14:paraId="295F0D72" w14:textId="77777777" w:rsidR="00774762" w:rsidRPr="00774762" w:rsidRDefault="00774762" w:rsidP="006347CA">
            <w:pPr>
              <w:jc w:val="both"/>
              <w:rPr>
                <w:rFonts w:ascii="Arial Narrow" w:hAnsi="Arial Narrow"/>
                <w:b/>
                <w:noProof/>
              </w:rPr>
            </w:pPr>
            <w:r w:rsidRPr="00774762">
              <w:rPr>
                <w:rFonts w:ascii="Arial Narrow" w:hAnsi="Arial Narrow"/>
                <w:noProof/>
              </w:rPr>
              <w:t>maximálne 4 cm</w:t>
            </w:r>
            <w:r w:rsidRPr="00774762">
              <w:rPr>
                <w:rFonts w:ascii="Arial Narrow" w:hAnsi="Arial Narrow"/>
                <w:noProof/>
                <w:vertAlign w:val="superscript"/>
              </w:rPr>
              <w:t>-1</w:t>
            </w:r>
          </w:p>
        </w:tc>
      </w:tr>
      <w:tr w:rsidR="00774762" w:rsidRPr="00D0172C" w14:paraId="435612F2" w14:textId="77777777" w:rsidTr="00774762">
        <w:tc>
          <w:tcPr>
            <w:tcW w:w="4133" w:type="dxa"/>
            <w:shd w:val="clear" w:color="auto" w:fill="auto"/>
          </w:tcPr>
          <w:p w14:paraId="5E9D94AE" w14:textId="77777777" w:rsidR="00774762" w:rsidRPr="00774762" w:rsidRDefault="00774762" w:rsidP="006347CA">
            <w:pPr>
              <w:jc w:val="both"/>
              <w:rPr>
                <w:rFonts w:ascii="Arial Narrow" w:hAnsi="Arial Narrow"/>
                <w:b/>
                <w:noProof/>
              </w:rPr>
            </w:pPr>
            <w:r w:rsidRPr="00774762">
              <w:rPr>
                <w:rFonts w:ascii="Arial Narrow" w:hAnsi="Arial Narrow"/>
                <w:noProof/>
              </w:rPr>
              <w:t xml:space="preserve">optika pre snímanie IČ spektier  </w:t>
            </w:r>
          </w:p>
        </w:tc>
        <w:tc>
          <w:tcPr>
            <w:tcW w:w="5254" w:type="dxa"/>
            <w:shd w:val="clear" w:color="auto" w:fill="auto"/>
          </w:tcPr>
          <w:p w14:paraId="5E5DB95E" w14:textId="77777777" w:rsidR="00774762" w:rsidRPr="00774762" w:rsidRDefault="00774762" w:rsidP="006347CA">
            <w:pPr>
              <w:pStyle w:val="Textpoznmkypodiarou"/>
              <w:rPr>
                <w:rFonts w:ascii="Arial Narrow" w:hAnsi="Arial Narrow"/>
                <w:b/>
                <w:noProof/>
                <w:sz w:val="24"/>
                <w:lang w:val="sk-SK"/>
              </w:rPr>
            </w:pPr>
            <w:r w:rsidRPr="00774762">
              <w:rPr>
                <w:rFonts w:ascii="Arial Narrow" w:hAnsi="Arial Narrow"/>
                <w:noProof/>
                <w:lang w:val="sk-SK"/>
              </w:rPr>
              <w:t>diamantové ATR</w:t>
            </w:r>
          </w:p>
        </w:tc>
      </w:tr>
      <w:tr w:rsidR="006359A0" w:rsidRPr="00D0172C" w14:paraId="389433A9" w14:textId="77777777" w:rsidTr="006359A0">
        <w:trPr>
          <w:trHeight w:val="750"/>
        </w:trPr>
        <w:tc>
          <w:tcPr>
            <w:tcW w:w="4133" w:type="dxa"/>
            <w:shd w:val="clear" w:color="auto" w:fill="auto"/>
          </w:tcPr>
          <w:p w14:paraId="58219F5C" w14:textId="7F4B2797" w:rsidR="006359A0" w:rsidRPr="006359A0" w:rsidRDefault="006359A0" w:rsidP="006359A0">
            <w:pPr>
              <w:pStyle w:val="Textpoznmkypodiarou"/>
              <w:rPr>
                <w:rFonts w:ascii="Arial Narrow" w:hAnsi="Arial Narrow"/>
                <w:noProof/>
                <w:lang w:val="sk-SK"/>
              </w:rPr>
            </w:pPr>
            <w:r w:rsidRPr="006359A0">
              <w:rPr>
                <w:rFonts w:ascii="Arial Narrow" w:hAnsi="Arial Narrow"/>
                <w:noProof/>
                <w:lang w:val="sk-SK"/>
              </w:rPr>
              <w:t>kvalita vyhotovenia prístroja</w:t>
            </w:r>
          </w:p>
        </w:tc>
        <w:tc>
          <w:tcPr>
            <w:tcW w:w="5254" w:type="dxa"/>
            <w:shd w:val="clear" w:color="auto" w:fill="auto"/>
          </w:tcPr>
          <w:p w14:paraId="1CEB7746" w14:textId="44E1AD95" w:rsidR="006359A0" w:rsidRPr="006359A0" w:rsidRDefault="006359A0" w:rsidP="006359A0">
            <w:pPr>
              <w:jc w:val="both"/>
              <w:rPr>
                <w:rFonts w:ascii="Arial Narrow" w:hAnsi="Arial Narrow"/>
                <w:b/>
                <w:noProof/>
              </w:rPr>
            </w:pPr>
            <w:r w:rsidRPr="006359A0">
              <w:rPr>
                <w:rFonts w:ascii="Arial Narrow" w:hAnsi="Arial Narrow"/>
                <w:noProof/>
              </w:rPr>
              <w:t xml:space="preserve">požaduje sa vodotesnosť, prachotesnosť, odolnosť voči  dekontaminácií, odolnosť voči  nárazom (napr. podľa špecifikácie MIL STD 810G, IEC 60529 alebo inej ekvivalentnej normy) </w:t>
            </w:r>
          </w:p>
        </w:tc>
      </w:tr>
      <w:tr w:rsidR="00774762" w:rsidRPr="00D0172C" w14:paraId="6A1BD7D9" w14:textId="77777777" w:rsidTr="00774762">
        <w:tc>
          <w:tcPr>
            <w:tcW w:w="4133" w:type="dxa"/>
            <w:shd w:val="clear" w:color="auto" w:fill="auto"/>
          </w:tcPr>
          <w:p w14:paraId="288EB0F0" w14:textId="77777777" w:rsidR="00774762" w:rsidRPr="00774762" w:rsidRDefault="00774762" w:rsidP="006347CA">
            <w:pPr>
              <w:jc w:val="both"/>
              <w:rPr>
                <w:rFonts w:ascii="Arial Narrow" w:hAnsi="Arial Narrow"/>
                <w:b/>
                <w:noProof/>
              </w:rPr>
            </w:pPr>
            <w:r w:rsidRPr="00774762">
              <w:rPr>
                <w:rFonts w:ascii="Arial Narrow" w:hAnsi="Arial Narrow"/>
                <w:noProof/>
              </w:rPr>
              <w:t xml:space="preserve">rozsah pracovných teplôt </w:t>
            </w:r>
          </w:p>
        </w:tc>
        <w:tc>
          <w:tcPr>
            <w:tcW w:w="5254" w:type="dxa"/>
            <w:shd w:val="clear" w:color="auto" w:fill="auto"/>
          </w:tcPr>
          <w:p w14:paraId="0526B92A" w14:textId="77777777" w:rsidR="00774762" w:rsidRPr="00774762" w:rsidRDefault="00774762" w:rsidP="006347CA">
            <w:pPr>
              <w:pStyle w:val="Textpoznmkypodiarou"/>
              <w:rPr>
                <w:rFonts w:ascii="Arial Narrow" w:hAnsi="Arial Narrow"/>
                <w:b/>
                <w:noProof/>
                <w:sz w:val="24"/>
                <w:lang w:val="sk-SK"/>
              </w:rPr>
            </w:pPr>
            <w:r w:rsidRPr="00774762">
              <w:rPr>
                <w:rFonts w:ascii="Arial Narrow" w:hAnsi="Arial Narrow"/>
                <w:noProof/>
                <w:lang w:val="sk-SK"/>
              </w:rPr>
              <w:t>minimálne od - 10 °C do + 40 °C</w:t>
            </w:r>
          </w:p>
        </w:tc>
      </w:tr>
      <w:tr w:rsidR="00774762" w:rsidRPr="00D0172C" w14:paraId="0A91C1B7" w14:textId="77777777" w:rsidTr="00774762">
        <w:tc>
          <w:tcPr>
            <w:tcW w:w="4133" w:type="dxa"/>
            <w:shd w:val="clear" w:color="auto" w:fill="auto"/>
          </w:tcPr>
          <w:p w14:paraId="49349372" w14:textId="77777777" w:rsidR="00774762" w:rsidRPr="00774762" w:rsidRDefault="00774762" w:rsidP="006347CA">
            <w:pPr>
              <w:jc w:val="both"/>
              <w:rPr>
                <w:rFonts w:ascii="Arial Narrow" w:hAnsi="Arial Narrow"/>
                <w:b/>
                <w:noProof/>
              </w:rPr>
            </w:pPr>
            <w:r w:rsidRPr="00774762">
              <w:rPr>
                <w:rFonts w:ascii="Arial Narrow" w:hAnsi="Arial Narrow"/>
                <w:noProof/>
              </w:rPr>
              <w:t xml:space="preserve">hmotnosť celého spektrometra v prevádzkyschopnom stave (vrátane batérie/akumulátora) </w:t>
            </w:r>
          </w:p>
        </w:tc>
        <w:tc>
          <w:tcPr>
            <w:tcW w:w="5254" w:type="dxa"/>
            <w:shd w:val="clear" w:color="auto" w:fill="auto"/>
          </w:tcPr>
          <w:p w14:paraId="010960AC" w14:textId="77777777" w:rsidR="00774762" w:rsidRPr="00774762" w:rsidRDefault="00774762" w:rsidP="006347CA">
            <w:pPr>
              <w:jc w:val="both"/>
              <w:rPr>
                <w:rFonts w:ascii="Arial Narrow" w:hAnsi="Arial Narrow"/>
                <w:noProof/>
              </w:rPr>
            </w:pPr>
            <w:r w:rsidRPr="00774762">
              <w:rPr>
                <w:rFonts w:ascii="Arial Narrow" w:hAnsi="Arial Narrow"/>
                <w:noProof/>
              </w:rPr>
              <w:t xml:space="preserve">maximálne 1,5 kg </w:t>
            </w:r>
          </w:p>
        </w:tc>
      </w:tr>
      <w:tr w:rsidR="00774762" w:rsidRPr="00D0172C" w14:paraId="44768916" w14:textId="77777777" w:rsidTr="00774762">
        <w:tc>
          <w:tcPr>
            <w:tcW w:w="4133" w:type="dxa"/>
            <w:shd w:val="clear" w:color="auto" w:fill="auto"/>
          </w:tcPr>
          <w:p w14:paraId="14C14A85" w14:textId="77777777" w:rsidR="00774762" w:rsidRPr="00774762" w:rsidRDefault="00774762" w:rsidP="006347CA">
            <w:pPr>
              <w:jc w:val="both"/>
              <w:rPr>
                <w:rFonts w:ascii="Arial Narrow" w:hAnsi="Arial Narrow"/>
                <w:b/>
                <w:noProof/>
              </w:rPr>
            </w:pPr>
            <w:r w:rsidRPr="00774762">
              <w:rPr>
                <w:rFonts w:ascii="Arial Narrow" w:hAnsi="Arial Narrow"/>
                <w:noProof/>
              </w:rPr>
              <w:t xml:space="preserve">interný diagnostický test  </w:t>
            </w:r>
          </w:p>
        </w:tc>
        <w:tc>
          <w:tcPr>
            <w:tcW w:w="5254" w:type="dxa"/>
            <w:shd w:val="clear" w:color="auto" w:fill="auto"/>
          </w:tcPr>
          <w:p w14:paraId="56549D44" w14:textId="77777777" w:rsidR="00774762" w:rsidRPr="00774762" w:rsidRDefault="00774762" w:rsidP="006347CA">
            <w:pPr>
              <w:jc w:val="both"/>
              <w:rPr>
                <w:rFonts w:ascii="Arial Narrow" w:hAnsi="Arial Narrow"/>
                <w:b/>
                <w:noProof/>
              </w:rPr>
            </w:pPr>
            <w:r w:rsidRPr="00774762">
              <w:rPr>
                <w:rFonts w:ascii="Arial Narrow" w:hAnsi="Arial Narrow"/>
                <w:noProof/>
              </w:rPr>
              <w:t xml:space="preserve">musí kontrolovať plnú funkčnosť spektrometra, vrátane kalibrácie vlnových dĺžok na dodanú referenčnú vzorku, plne automatizovaný, musí umožniť jednoduché vykonanie testu pred analýzou a po </w:t>
            </w:r>
            <w:r w:rsidRPr="00774762">
              <w:rPr>
                <w:rFonts w:ascii="Arial Narrow" w:hAnsi="Arial Narrow"/>
                <w:noProof/>
              </w:rPr>
              <w:lastRenderedPageBreak/>
              <w:t>analýze z dôvodu zaistenia kvality</w:t>
            </w:r>
          </w:p>
        </w:tc>
      </w:tr>
      <w:tr w:rsidR="00774762" w:rsidRPr="00D0172C" w14:paraId="792F0B95" w14:textId="77777777" w:rsidTr="00774762">
        <w:tc>
          <w:tcPr>
            <w:tcW w:w="4133" w:type="dxa"/>
            <w:shd w:val="clear" w:color="auto" w:fill="auto"/>
          </w:tcPr>
          <w:p w14:paraId="1275EB82" w14:textId="77777777" w:rsidR="00774762" w:rsidRPr="00774762" w:rsidRDefault="00774762" w:rsidP="006347CA">
            <w:pPr>
              <w:pStyle w:val="Textpoznmkypodiarou"/>
              <w:rPr>
                <w:rFonts w:ascii="Arial Narrow" w:hAnsi="Arial Narrow"/>
                <w:noProof/>
                <w:lang w:val="sk-SK"/>
              </w:rPr>
            </w:pPr>
            <w:r w:rsidRPr="00774762">
              <w:rPr>
                <w:rFonts w:ascii="Arial Narrow" w:hAnsi="Arial Narrow"/>
                <w:noProof/>
                <w:lang w:val="sk-SK"/>
              </w:rPr>
              <w:lastRenderedPageBreak/>
              <w:t>napájanie</w:t>
            </w:r>
          </w:p>
        </w:tc>
        <w:tc>
          <w:tcPr>
            <w:tcW w:w="5254" w:type="dxa"/>
            <w:shd w:val="clear" w:color="auto" w:fill="auto"/>
          </w:tcPr>
          <w:p w14:paraId="50D89DE3" w14:textId="77777777" w:rsidR="00774762" w:rsidRPr="00774762" w:rsidRDefault="00774762" w:rsidP="006347CA">
            <w:pPr>
              <w:pStyle w:val="Textpoznmkypodiarou"/>
              <w:rPr>
                <w:rFonts w:ascii="Arial Narrow" w:hAnsi="Arial Narrow"/>
                <w:noProof/>
                <w:lang w:val="sk-SK"/>
              </w:rPr>
            </w:pPr>
            <w:r w:rsidRPr="00774762">
              <w:rPr>
                <w:rFonts w:ascii="Arial Narrow" w:hAnsi="Arial Narrow"/>
                <w:noProof/>
                <w:lang w:val="sk-SK"/>
              </w:rPr>
              <w:t>Lítium - iónová alebo Lítium - polymérová batéria/akumulátor, doba kontinuálnej prevádzky na jedno nabitie (bez výmeny batérie) minimálne 4 hodiny</w:t>
            </w:r>
          </w:p>
        </w:tc>
      </w:tr>
      <w:tr w:rsidR="00774762" w:rsidRPr="00D0172C" w14:paraId="3A974A0F" w14:textId="77777777" w:rsidTr="00774762">
        <w:tc>
          <w:tcPr>
            <w:tcW w:w="4133" w:type="dxa"/>
            <w:shd w:val="clear" w:color="auto" w:fill="auto"/>
          </w:tcPr>
          <w:p w14:paraId="6F2EEC41" w14:textId="77777777" w:rsidR="00774762" w:rsidRPr="00774762" w:rsidRDefault="00774762" w:rsidP="006347CA">
            <w:pPr>
              <w:rPr>
                <w:rFonts w:ascii="Arial Narrow" w:hAnsi="Arial Narrow"/>
                <w:noProof/>
              </w:rPr>
            </w:pPr>
            <w:r w:rsidRPr="00774762">
              <w:rPr>
                <w:rFonts w:ascii="Arial Narrow" w:hAnsi="Arial Narrow"/>
                <w:noProof/>
              </w:rPr>
              <w:t>meranie</w:t>
            </w:r>
          </w:p>
        </w:tc>
        <w:tc>
          <w:tcPr>
            <w:tcW w:w="5254" w:type="dxa"/>
            <w:shd w:val="clear" w:color="auto" w:fill="auto"/>
          </w:tcPr>
          <w:p w14:paraId="762A5EFD" w14:textId="77777777" w:rsidR="00774762" w:rsidRPr="00774762" w:rsidRDefault="00774762" w:rsidP="006347CA">
            <w:pPr>
              <w:rPr>
                <w:rFonts w:ascii="Arial Narrow" w:hAnsi="Arial Narrow"/>
                <w:b/>
                <w:noProof/>
              </w:rPr>
            </w:pPr>
            <w:r w:rsidRPr="00774762">
              <w:rPr>
                <w:rFonts w:ascii="Arial Narrow" w:hAnsi="Arial Narrow"/>
                <w:noProof/>
              </w:rPr>
              <w:t xml:space="preserve">plne automatizované, vrátane  identifikácie chemickej látky, resp. zmesí viacerých chemických látok </w:t>
            </w:r>
          </w:p>
        </w:tc>
      </w:tr>
      <w:tr w:rsidR="00774762" w:rsidRPr="00D0172C" w14:paraId="3E8A20A3" w14:textId="77777777" w:rsidTr="00774762">
        <w:tc>
          <w:tcPr>
            <w:tcW w:w="4133" w:type="dxa"/>
            <w:shd w:val="clear" w:color="auto" w:fill="auto"/>
          </w:tcPr>
          <w:p w14:paraId="590105DA" w14:textId="77777777" w:rsidR="00774762" w:rsidRPr="00774762" w:rsidRDefault="00774762" w:rsidP="006347CA">
            <w:pPr>
              <w:rPr>
                <w:rFonts w:ascii="Arial Narrow" w:hAnsi="Arial Narrow"/>
                <w:b/>
                <w:noProof/>
              </w:rPr>
            </w:pPr>
            <w:r w:rsidRPr="00774762">
              <w:rPr>
                <w:rFonts w:ascii="Arial Narrow" w:hAnsi="Arial Narrow"/>
                <w:noProof/>
              </w:rPr>
              <w:t>zobrazenie spektier</w:t>
            </w:r>
          </w:p>
        </w:tc>
        <w:tc>
          <w:tcPr>
            <w:tcW w:w="5254" w:type="dxa"/>
            <w:shd w:val="clear" w:color="auto" w:fill="auto"/>
          </w:tcPr>
          <w:p w14:paraId="174A6553" w14:textId="77777777" w:rsidR="00774762" w:rsidRPr="00774762" w:rsidRDefault="00774762" w:rsidP="006347CA">
            <w:pPr>
              <w:rPr>
                <w:rFonts w:ascii="Arial Narrow" w:hAnsi="Arial Narrow"/>
                <w:b/>
                <w:noProof/>
              </w:rPr>
            </w:pPr>
            <w:r w:rsidRPr="00774762">
              <w:rPr>
                <w:rFonts w:ascii="Arial Narrow" w:hAnsi="Arial Narrow"/>
                <w:noProof/>
              </w:rPr>
              <w:t>vizuálne zobrazenie intenzity IČ spektra nameraných aj referenčných látok z knižníc v celom spektrálnom rozsahu, pri porovnávaní IČ spektier zobraziť aj ich percentuálnu zhodu, možnosť nahliadnuť do údajov k referenčným látkam v knižniciach</w:t>
            </w:r>
          </w:p>
        </w:tc>
      </w:tr>
      <w:tr w:rsidR="00774762" w:rsidRPr="00D0172C" w14:paraId="4B32DEC9" w14:textId="77777777" w:rsidTr="00774762">
        <w:tc>
          <w:tcPr>
            <w:tcW w:w="4133" w:type="dxa"/>
            <w:shd w:val="clear" w:color="auto" w:fill="auto"/>
          </w:tcPr>
          <w:p w14:paraId="5412DB24" w14:textId="77777777" w:rsidR="00774762" w:rsidRPr="00774762" w:rsidRDefault="00774762" w:rsidP="006347CA">
            <w:pPr>
              <w:rPr>
                <w:rFonts w:ascii="Arial Narrow" w:hAnsi="Arial Narrow"/>
                <w:b/>
                <w:noProof/>
              </w:rPr>
            </w:pPr>
            <w:r w:rsidRPr="00774762">
              <w:rPr>
                <w:rFonts w:ascii="Arial Narrow" w:hAnsi="Arial Narrow"/>
                <w:noProof/>
              </w:rPr>
              <w:t xml:space="preserve">integrované databázy (knižnice) chemických látok  </w:t>
            </w:r>
          </w:p>
        </w:tc>
        <w:tc>
          <w:tcPr>
            <w:tcW w:w="5254" w:type="dxa"/>
            <w:shd w:val="clear" w:color="auto" w:fill="auto"/>
          </w:tcPr>
          <w:p w14:paraId="726DCA51" w14:textId="77777777" w:rsidR="00774762" w:rsidRPr="00774762" w:rsidRDefault="00774762" w:rsidP="006347CA">
            <w:pPr>
              <w:rPr>
                <w:rFonts w:ascii="Arial Narrow" w:hAnsi="Arial Narrow"/>
                <w:b/>
                <w:noProof/>
              </w:rPr>
            </w:pPr>
            <w:r w:rsidRPr="00774762">
              <w:rPr>
                <w:rFonts w:ascii="Arial Narrow" w:hAnsi="Arial Narrow"/>
                <w:noProof/>
              </w:rPr>
              <w:t>musia obsahovať minimálne 11 000 látok (výbušniny, bojové chemické látky, drogy, prekurzory, priemyselné chemikálie a iné), spektrometer musí zároveň umožňovať vytváranie užívateľských databáz chemických látok</w:t>
            </w:r>
          </w:p>
        </w:tc>
      </w:tr>
      <w:tr w:rsidR="00774762" w:rsidRPr="00D0172C" w14:paraId="4BA1CB76" w14:textId="77777777" w:rsidTr="00774762">
        <w:tc>
          <w:tcPr>
            <w:tcW w:w="4133" w:type="dxa"/>
            <w:shd w:val="clear" w:color="auto" w:fill="auto"/>
          </w:tcPr>
          <w:p w14:paraId="79998F45" w14:textId="77777777" w:rsidR="00774762" w:rsidRPr="00774762" w:rsidRDefault="00774762" w:rsidP="006347CA">
            <w:pPr>
              <w:rPr>
                <w:rFonts w:ascii="Arial Narrow" w:hAnsi="Arial Narrow"/>
                <w:noProof/>
              </w:rPr>
            </w:pPr>
            <w:r w:rsidRPr="00774762">
              <w:rPr>
                <w:rFonts w:ascii="Arial Narrow" w:hAnsi="Arial Narrow"/>
                <w:noProof/>
                <w:color w:val="000000"/>
              </w:rPr>
              <w:t>referenčné spektrá látok uložených v knižniciach spektrometra</w:t>
            </w:r>
          </w:p>
        </w:tc>
        <w:tc>
          <w:tcPr>
            <w:tcW w:w="5254" w:type="dxa"/>
            <w:shd w:val="clear" w:color="auto" w:fill="auto"/>
          </w:tcPr>
          <w:p w14:paraId="131A4A7F" w14:textId="77777777" w:rsidR="00774762" w:rsidRPr="00774762" w:rsidRDefault="00774762" w:rsidP="006347CA">
            <w:pPr>
              <w:rPr>
                <w:rFonts w:ascii="Arial Narrow" w:hAnsi="Arial Narrow"/>
                <w:noProof/>
              </w:rPr>
            </w:pPr>
            <w:r w:rsidRPr="00774762">
              <w:rPr>
                <w:rFonts w:ascii="Arial Narrow" w:hAnsi="Arial Narrow"/>
                <w:noProof/>
                <w:color w:val="000000"/>
              </w:rPr>
              <w:t>všetky IČ referenčné spektrá musia byť namerané na ponúkanom type spektrometra</w:t>
            </w:r>
          </w:p>
        </w:tc>
      </w:tr>
      <w:tr w:rsidR="00774762" w:rsidRPr="00D0172C" w14:paraId="0038BFAB" w14:textId="77777777" w:rsidTr="00774762">
        <w:tc>
          <w:tcPr>
            <w:tcW w:w="4133" w:type="dxa"/>
            <w:shd w:val="clear" w:color="auto" w:fill="auto"/>
          </w:tcPr>
          <w:p w14:paraId="19075B7D" w14:textId="77777777" w:rsidR="00774762" w:rsidRPr="00774762" w:rsidRDefault="00774762" w:rsidP="006347CA">
            <w:pPr>
              <w:rPr>
                <w:rFonts w:ascii="Arial Narrow" w:hAnsi="Arial Narrow"/>
                <w:noProof/>
              </w:rPr>
            </w:pPr>
            <w:r w:rsidRPr="00774762">
              <w:rPr>
                <w:rFonts w:ascii="Arial Narrow" w:hAnsi="Arial Narrow"/>
                <w:noProof/>
              </w:rPr>
              <w:t xml:space="preserve">doplňovanie databáz referenčných chemických látok </w:t>
            </w:r>
          </w:p>
        </w:tc>
        <w:tc>
          <w:tcPr>
            <w:tcW w:w="5254" w:type="dxa"/>
            <w:shd w:val="clear" w:color="auto" w:fill="auto"/>
          </w:tcPr>
          <w:p w14:paraId="4A4D9A49" w14:textId="77777777" w:rsidR="00774762" w:rsidRPr="00774762" w:rsidRDefault="00774762" w:rsidP="006347CA">
            <w:pPr>
              <w:rPr>
                <w:rFonts w:ascii="Arial Narrow" w:hAnsi="Arial Narrow"/>
                <w:noProof/>
              </w:rPr>
            </w:pPr>
            <w:r w:rsidRPr="00774762">
              <w:rPr>
                <w:rFonts w:ascii="Arial Narrow" w:hAnsi="Arial Narrow"/>
                <w:noProof/>
              </w:rPr>
              <w:t>požaduje sa od dodávateľa minimálne 1 x ročne</w:t>
            </w:r>
          </w:p>
        </w:tc>
      </w:tr>
      <w:tr w:rsidR="00774762" w:rsidRPr="00D0172C" w14:paraId="687C251F" w14:textId="77777777" w:rsidTr="00774762">
        <w:tc>
          <w:tcPr>
            <w:tcW w:w="4133" w:type="dxa"/>
            <w:shd w:val="clear" w:color="auto" w:fill="auto"/>
          </w:tcPr>
          <w:p w14:paraId="1C1DC5E2" w14:textId="77777777" w:rsidR="00774762" w:rsidRPr="00774762" w:rsidRDefault="00774762" w:rsidP="006347CA">
            <w:pPr>
              <w:rPr>
                <w:rFonts w:ascii="Arial Narrow" w:hAnsi="Arial Narrow"/>
                <w:noProof/>
              </w:rPr>
            </w:pPr>
            <w:r w:rsidRPr="00774762">
              <w:rPr>
                <w:rFonts w:ascii="Arial Narrow" w:hAnsi="Arial Narrow"/>
                <w:noProof/>
              </w:rPr>
              <w:t xml:space="preserve">ukladanie a export nameraných IČ spektier  </w:t>
            </w:r>
          </w:p>
        </w:tc>
        <w:tc>
          <w:tcPr>
            <w:tcW w:w="5254" w:type="dxa"/>
            <w:shd w:val="clear" w:color="auto" w:fill="auto"/>
          </w:tcPr>
          <w:p w14:paraId="3D3D42E0" w14:textId="77777777" w:rsidR="00774762" w:rsidRPr="00774762" w:rsidRDefault="00774762" w:rsidP="006347CA">
            <w:pPr>
              <w:rPr>
                <w:rFonts w:ascii="Arial Narrow" w:hAnsi="Arial Narrow"/>
                <w:noProof/>
              </w:rPr>
            </w:pPr>
            <w:r w:rsidRPr="00774762">
              <w:rPr>
                <w:rFonts w:ascii="Arial Narrow" w:hAnsi="Arial Narrow"/>
                <w:noProof/>
              </w:rPr>
              <w:t>požaduje sa automatické  ukladanie do internej pamäte zariadenia a zároveň možnosť exportu na dodané pamäťové médium (napr. mini SD/mikro SD karta), zároveň sa požaduje možnosť exportu nameraných IČ spektier do externého PC (napr. prostredníctvom USB), minimálne vo formátoch TXT/PDF a SPC</w:t>
            </w:r>
          </w:p>
        </w:tc>
      </w:tr>
      <w:tr w:rsidR="00774762" w:rsidRPr="00D0172C" w14:paraId="4720C2D7" w14:textId="77777777" w:rsidTr="00774762">
        <w:tc>
          <w:tcPr>
            <w:tcW w:w="4133" w:type="dxa"/>
            <w:shd w:val="clear" w:color="auto" w:fill="auto"/>
          </w:tcPr>
          <w:p w14:paraId="7DA8FAE3" w14:textId="77777777" w:rsidR="00774762" w:rsidRPr="00774762" w:rsidRDefault="00774762" w:rsidP="006347CA">
            <w:pPr>
              <w:rPr>
                <w:rFonts w:ascii="Arial Narrow" w:hAnsi="Arial Narrow"/>
                <w:noProof/>
              </w:rPr>
            </w:pPr>
            <w:r w:rsidRPr="00774762">
              <w:rPr>
                <w:rFonts w:ascii="Arial Narrow" w:hAnsi="Arial Narrow"/>
                <w:noProof/>
              </w:rPr>
              <w:t xml:space="preserve"> externá tlač </w:t>
            </w:r>
          </w:p>
          <w:p w14:paraId="56ADD47E" w14:textId="77777777" w:rsidR="00774762" w:rsidRPr="00774762" w:rsidRDefault="00774762" w:rsidP="006347CA">
            <w:pPr>
              <w:rPr>
                <w:rFonts w:ascii="Arial Narrow" w:hAnsi="Arial Narrow"/>
                <w:noProof/>
              </w:rPr>
            </w:pPr>
          </w:p>
        </w:tc>
        <w:tc>
          <w:tcPr>
            <w:tcW w:w="5254" w:type="dxa"/>
            <w:shd w:val="clear" w:color="auto" w:fill="auto"/>
          </w:tcPr>
          <w:p w14:paraId="65BDD3B1" w14:textId="77777777" w:rsidR="00774762" w:rsidRPr="00774762" w:rsidRDefault="00774762" w:rsidP="006347CA">
            <w:pPr>
              <w:rPr>
                <w:rFonts w:ascii="Arial Narrow" w:hAnsi="Arial Narrow"/>
                <w:noProof/>
              </w:rPr>
            </w:pPr>
            <w:r w:rsidRPr="00774762">
              <w:rPr>
                <w:rFonts w:ascii="Arial Narrow" w:hAnsi="Arial Narrow"/>
                <w:noProof/>
              </w:rPr>
              <w:t>požaduje sa externá tlač protokolov, vrátane spektier a údajov o identifikovanej látke</w:t>
            </w:r>
          </w:p>
        </w:tc>
      </w:tr>
    </w:tbl>
    <w:p w14:paraId="592E53EC" w14:textId="77777777" w:rsidR="001856F5" w:rsidRDefault="001856F5" w:rsidP="00C97880">
      <w:pPr>
        <w:pStyle w:val="Odsekzoznamu"/>
        <w:rPr>
          <w:rFonts w:ascii="Arial Narrow" w:hAnsi="Arial Narrow"/>
          <w:b/>
          <w:sz w:val="24"/>
          <w:szCs w:val="24"/>
        </w:rPr>
      </w:pPr>
    </w:p>
    <w:p w14:paraId="21365A5B" w14:textId="77777777" w:rsidR="00C97880" w:rsidRPr="001856F5" w:rsidRDefault="00C97880" w:rsidP="00C97880">
      <w:pPr>
        <w:pStyle w:val="Odsekzoznamu"/>
        <w:rPr>
          <w:rFonts w:ascii="Arial Narrow" w:hAnsi="Arial Narrow"/>
          <w:b/>
          <w:sz w:val="24"/>
          <w:szCs w:val="24"/>
        </w:rPr>
      </w:pPr>
      <w:r w:rsidRPr="001856F5">
        <w:rPr>
          <w:rFonts w:ascii="Arial Narrow" w:hAnsi="Arial Narrow"/>
          <w:b/>
          <w:sz w:val="24"/>
          <w:szCs w:val="24"/>
        </w:rPr>
        <w:t>Ďalšie požiadavky</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774762" w:rsidRPr="00D0172C" w14:paraId="46060DC2" w14:textId="77777777" w:rsidTr="00774762">
        <w:tc>
          <w:tcPr>
            <w:tcW w:w="9387" w:type="dxa"/>
            <w:shd w:val="clear" w:color="auto" w:fill="auto"/>
          </w:tcPr>
          <w:p w14:paraId="71555E39" w14:textId="77777777" w:rsidR="00774762" w:rsidRPr="00774762" w:rsidRDefault="00774762" w:rsidP="006347CA">
            <w:pPr>
              <w:jc w:val="center"/>
              <w:rPr>
                <w:rFonts w:ascii="Arial Narrow" w:hAnsi="Arial Narrow"/>
                <w:b/>
                <w:noProof/>
                <w:highlight w:val="yellow"/>
              </w:rPr>
            </w:pPr>
            <w:r w:rsidRPr="00774762">
              <w:rPr>
                <w:rFonts w:ascii="Arial Narrow" w:hAnsi="Arial Narrow"/>
                <w:b/>
                <w:noProof/>
              </w:rPr>
              <w:t>Ďalšie požiadavky (platia pre každý spektrometer jednotlivo)</w:t>
            </w:r>
          </w:p>
        </w:tc>
      </w:tr>
      <w:tr w:rsidR="00774762" w:rsidRPr="00D0172C" w14:paraId="55F828D0" w14:textId="77777777" w:rsidTr="00774762">
        <w:trPr>
          <w:trHeight w:val="280"/>
        </w:trPr>
        <w:tc>
          <w:tcPr>
            <w:tcW w:w="9387" w:type="dxa"/>
            <w:shd w:val="clear" w:color="auto" w:fill="auto"/>
          </w:tcPr>
          <w:p w14:paraId="714AA0F8" w14:textId="77777777" w:rsidR="00774762" w:rsidRPr="00774762" w:rsidRDefault="00774762" w:rsidP="006347CA">
            <w:pPr>
              <w:jc w:val="both"/>
              <w:rPr>
                <w:rFonts w:ascii="Arial Narrow" w:hAnsi="Arial Narrow"/>
                <w:noProof/>
              </w:rPr>
            </w:pPr>
            <w:r w:rsidRPr="00774762">
              <w:rPr>
                <w:rFonts w:ascii="Arial Narrow" w:hAnsi="Arial Narrow"/>
                <w:noProof/>
              </w:rPr>
              <w:t>V ponuke uviesť výrobcu a presné modelové označenie ponúkaného prístroja a doložiť oprávnenie k dodávkam ponúkaného modelu na územie Slovenskej republiky, napr. Certifikátom od výrobcu.</w:t>
            </w:r>
          </w:p>
        </w:tc>
      </w:tr>
      <w:tr w:rsidR="00774762" w:rsidRPr="00D0172C" w14:paraId="17C1546C" w14:textId="77777777" w:rsidTr="00774762">
        <w:trPr>
          <w:trHeight w:val="280"/>
        </w:trPr>
        <w:tc>
          <w:tcPr>
            <w:tcW w:w="9387" w:type="dxa"/>
            <w:shd w:val="clear" w:color="auto" w:fill="auto"/>
          </w:tcPr>
          <w:p w14:paraId="2C42926C" w14:textId="77777777" w:rsidR="00774762" w:rsidRPr="00774762" w:rsidRDefault="00774762" w:rsidP="006347CA">
            <w:pPr>
              <w:jc w:val="both"/>
              <w:rPr>
                <w:rFonts w:ascii="Arial Narrow" w:hAnsi="Arial Narrow"/>
                <w:noProof/>
              </w:rPr>
            </w:pPr>
            <w:r w:rsidRPr="00774762">
              <w:rPr>
                <w:rFonts w:ascii="Arial Narrow" w:hAnsi="Arial Narrow"/>
                <w:noProof/>
              </w:rPr>
              <w:t>Spotrebný materiál potrebný na jednoduchú údržbu a uvedenie do prevádzky po inštalácií, vrátane štandardu pre vykonávanie vnútorného testu spektrometra, užívateľský manuál - návod na obsluhu - v slovenskom alebo českom jazyku.</w:t>
            </w:r>
          </w:p>
        </w:tc>
      </w:tr>
      <w:tr w:rsidR="00774762" w:rsidRPr="00D0172C" w14:paraId="6C96043D" w14:textId="77777777" w:rsidTr="00774762">
        <w:tc>
          <w:tcPr>
            <w:tcW w:w="9387" w:type="dxa"/>
            <w:shd w:val="clear" w:color="auto" w:fill="auto"/>
          </w:tcPr>
          <w:p w14:paraId="6ED07432" w14:textId="77777777" w:rsidR="00774762" w:rsidRPr="00774762" w:rsidRDefault="00774762" w:rsidP="006347CA">
            <w:pPr>
              <w:jc w:val="both"/>
              <w:rPr>
                <w:rFonts w:ascii="Arial Narrow" w:hAnsi="Arial Narrow"/>
                <w:noProof/>
              </w:rPr>
            </w:pPr>
            <w:r w:rsidRPr="00774762">
              <w:rPr>
                <w:rFonts w:ascii="Arial Narrow" w:hAnsi="Arial Narrow"/>
                <w:noProof/>
              </w:rPr>
              <w:t>Ďalší spotrebný materiál: rezervný štandard pre vykonávanie vnútorného testu spektrometra a rezervný nabíjateľný Li-Ión alebo Li-Polymér akumulátor, s výdržou aspoň 4 hodiny (pri aktívnom používaní prístroja),</w:t>
            </w:r>
          </w:p>
        </w:tc>
      </w:tr>
      <w:tr w:rsidR="00774762" w:rsidRPr="00D0172C" w14:paraId="73F21ECD" w14:textId="77777777" w:rsidTr="00774762">
        <w:tc>
          <w:tcPr>
            <w:tcW w:w="9387" w:type="dxa"/>
            <w:shd w:val="clear" w:color="auto" w:fill="auto"/>
          </w:tcPr>
          <w:p w14:paraId="522D9165" w14:textId="77777777" w:rsidR="00774762" w:rsidRPr="00774762" w:rsidRDefault="00774762" w:rsidP="006347CA">
            <w:pPr>
              <w:rPr>
                <w:rFonts w:ascii="Arial Narrow" w:hAnsi="Arial Narrow"/>
                <w:noProof/>
              </w:rPr>
            </w:pPr>
            <w:r w:rsidRPr="00774762">
              <w:rPr>
                <w:rFonts w:ascii="Arial Narrow" w:hAnsi="Arial Narrow"/>
                <w:noProof/>
              </w:rPr>
              <w:t>Záruka na spektrometer: minimálne 48 mesiacov (4 roky) od kompletnej inštalácie</w:t>
            </w:r>
          </w:p>
        </w:tc>
      </w:tr>
      <w:tr w:rsidR="00774762" w:rsidRPr="00D0172C" w14:paraId="59CA8F69" w14:textId="77777777" w:rsidTr="00774762">
        <w:tc>
          <w:tcPr>
            <w:tcW w:w="9387" w:type="dxa"/>
            <w:shd w:val="clear" w:color="auto" w:fill="auto"/>
          </w:tcPr>
          <w:p w14:paraId="2A948E58" w14:textId="22D3FACA" w:rsidR="00774762" w:rsidRPr="00774762" w:rsidRDefault="007F0801" w:rsidP="007F0801">
            <w:pPr>
              <w:rPr>
                <w:rFonts w:ascii="Arial Narrow" w:hAnsi="Arial Narrow"/>
                <w:noProof/>
              </w:rPr>
            </w:pPr>
            <w:r>
              <w:rPr>
                <w:rFonts w:ascii="Arial Narrow" w:hAnsi="Arial Narrow"/>
              </w:rPr>
              <w:t xml:space="preserve">V cene zariadenia budú zahrnuté </w:t>
            </w:r>
            <w:r>
              <w:rPr>
                <w:rFonts w:ascii="Arial Narrow" w:hAnsi="Arial Narrow"/>
              </w:rPr>
              <w:t>c</w:t>
            </w:r>
            <w:bookmarkStart w:id="0" w:name="_GoBack"/>
            <w:bookmarkEnd w:id="0"/>
            <w:r w:rsidR="00774762" w:rsidRPr="00774762">
              <w:rPr>
                <w:rFonts w:ascii="Arial Narrow" w:hAnsi="Arial Narrow"/>
                <w:noProof/>
              </w:rPr>
              <w:t>olné poplatky, dopravné náklady do uvedených miest inštalácie (Bratislava, Slovenská Ľupča, Košice), kompletná inštalácia a zaškolenie obsluhy v každom z uvedených  miest inštalácie, v rozsahu minimálne 4 hodiny, pre minimálne 4 osoby</w:t>
            </w:r>
          </w:p>
        </w:tc>
      </w:tr>
      <w:tr w:rsidR="00774762" w:rsidRPr="00D0172C" w14:paraId="139BC4EF" w14:textId="77777777" w:rsidTr="00774762">
        <w:tc>
          <w:tcPr>
            <w:tcW w:w="9387" w:type="dxa"/>
            <w:shd w:val="clear" w:color="auto" w:fill="auto"/>
          </w:tcPr>
          <w:p w14:paraId="4AEC9AAB" w14:textId="77777777" w:rsidR="00774762" w:rsidRPr="00774762" w:rsidRDefault="00774762" w:rsidP="006347CA">
            <w:pPr>
              <w:rPr>
                <w:rFonts w:ascii="Arial Narrow" w:hAnsi="Arial Narrow"/>
                <w:noProof/>
              </w:rPr>
            </w:pPr>
            <w:r w:rsidRPr="00774762">
              <w:rPr>
                <w:rFonts w:ascii="Arial Narrow" w:hAnsi="Arial Narrow"/>
                <w:noProof/>
              </w:rPr>
              <w:t>Do predmetu verejného obstarávania sú zahrnuté štyri preventívne údržby (vykonané po 12, 24, 36 a 48 mesiacoch od kompletnej inštalácie), vrátane dopravných nákladov a nevyhnutných (výrobcom predpísaných) náhradných dielov, vykonané na každom z uvedených pracovísk KEÚ PZ (Bratislava, Slovenská Ľupča, Košice)</w:t>
            </w:r>
          </w:p>
        </w:tc>
      </w:tr>
      <w:tr w:rsidR="00774762" w:rsidRPr="00D0172C" w14:paraId="32C3EE1D" w14:textId="77777777" w:rsidTr="00774762">
        <w:tc>
          <w:tcPr>
            <w:tcW w:w="9387" w:type="dxa"/>
            <w:shd w:val="clear" w:color="auto" w:fill="auto"/>
          </w:tcPr>
          <w:p w14:paraId="59DEB873" w14:textId="77777777" w:rsidR="00774762" w:rsidRPr="00774762" w:rsidRDefault="00774762" w:rsidP="006347CA">
            <w:pPr>
              <w:rPr>
                <w:rFonts w:ascii="Arial Narrow" w:hAnsi="Arial Narrow"/>
                <w:noProof/>
              </w:rPr>
            </w:pPr>
            <w:r w:rsidRPr="00774762">
              <w:rPr>
                <w:rFonts w:ascii="Arial Narrow" w:hAnsi="Arial Narrow"/>
                <w:noProof/>
              </w:rPr>
              <w:t>Dodávateľ zariadenia musí garantovať nástup na servisný zásah do 48 h od nahlásenia poruchy</w:t>
            </w:r>
          </w:p>
        </w:tc>
      </w:tr>
      <w:tr w:rsidR="00774762" w:rsidRPr="00D0172C" w14:paraId="0207A61B" w14:textId="77777777" w:rsidTr="00774762">
        <w:tc>
          <w:tcPr>
            <w:tcW w:w="9387" w:type="dxa"/>
            <w:shd w:val="clear" w:color="auto" w:fill="auto"/>
          </w:tcPr>
          <w:p w14:paraId="21929D83" w14:textId="77777777" w:rsidR="00774762" w:rsidRPr="00774762" w:rsidRDefault="00774762" w:rsidP="006347CA">
            <w:pPr>
              <w:rPr>
                <w:rFonts w:ascii="Arial Narrow" w:hAnsi="Arial Narrow"/>
                <w:noProof/>
              </w:rPr>
            </w:pPr>
            <w:r w:rsidRPr="00774762">
              <w:rPr>
                <w:rFonts w:ascii="Arial Narrow" w:hAnsi="Arial Narrow"/>
                <w:noProof/>
              </w:rPr>
              <w:t>Servis musí byť vykonávaný servisným technikom, ktorý bol vyškolený výrobcom zariadenia (autorizovaný servis)</w:t>
            </w:r>
          </w:p>
        </w:tc>
      </w:tr>
    </w:tbl>
    <w:p w14:paraId="383D9ADC" w14:textId="77777777" w:rsidR="00E00E4F" w:rsidRPr="001856F5" w:rsidRDefault="00E00E4F" w:rsidP="00E00E4F">
      <w:pPr>
        <w:pStyle w:val="Nadpis1"/>
        <w:jc w:val="both"/>
        <w:rPr>
          <w:rFonts w:ascii="Arial Narrow" w:hAnsi="Arial Narrow" w:cs="Arial Narrow"/>
          <w:sz w:val="24"/>
          <w:szCs w:val="24"/>
        </w:rPr>
      </w:pPr>
      <w:r w:rsidRPr="001856F5">
        <w:rPr>
          <w:rFonts w:ascii="Arial Narrow" w:hAnsi="Arial Narrow" w:cs="Arial Narrow"/>
          <w:sz w:val="24"/>
          <w:szCs w:val="24"/>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2E6AA9B0" w14:textId="77777777" w:rsidR="00E00E4F" w:rsidRPr="006F5827" w:rsidRDefault="00E00E4F" w:rsidP="00E00E4F"/>
    <w:p w14:paraId="4CFC8E84" w14:textId="77777777" w:rsidR="00E00E4F" w:rsidRPr="006F5827" w:rsidRDefault="00E00E4F" w:rsidP="00E00E4F">
      <w:pPr>
        <w:rPr>
          <w:rFonts w:ascii="Arial Narrow" w:hAnsi="Arial Narrow" w:cs="Arial Narrow"/>
          <w:sz w:val="22"/>
          <w:szCs w:val="22"/>
        </w:rPr>
      </w:pPr>
    </w:p>
    <w:p w14:paraId="008DBEF8" w14:textId="77777777" w:rsidR="00D84019" w:rsidRDefault="00D84019" w:rsidP="00E00E4F">
      <w:pPr>
        <w:shd w:val="clear" w:color="auto" w:fill="FFFFFF"/>
        <w:tabs>
          <w:tab w:val="clear" w:pos="2160"/>
          <w:tab w:val="clear" w:pos="2880"/>
          <w:tab w:val="clear" w:pos="4500"/>
        </w:tabs>
        <w:spacing w:after="120"/>
      </w:pPr>
    </w:p>
    <w:sectPr w:rsidR="00D84019"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3B8AA" w14:textId="77777777" w:rsidR="003A201D" w:rsidRDefault="003A201D" w:rsidP="003D4E38">
      <w:r>
        <w:separator/>
      </w:r>
    </w:p>
  </w:endnote>
  <w:endnote w:type="continuationSeparator" w:id="0">
    <w:p w14:paraId="34DC000D" w14:textId="77777777" w:rsidR="003A201D" w:rsidRDefault="003A201D"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0BFE4" w14:textId="77777777" w:rsidR="003A201D" w:rsidRDefault="003A201D" w:rsidP="003D4E38">
      <w:r>
        <w:separator/>
      </w:r>
    </w:p>
  </w:footnote>
  <w:footnote w:type="continuationSeparator" w:id="0">
    <w:p w14:paraId="48D15C38" w14:textId="77777777" w:rsidR="003A201D" w:rsidRDefault="003A201D"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46A2"/>
    <w:multiLevelType w:val="hybridMultilevel"/>
    <w:tmpl w:val="BFCC9E3E"/>
    <w:lvl w:ilvl="0" w:tplc="0040D436">
      <w:start w:val="925"/>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3">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BE68D5"/>
    <w:multiLevelType w:val="multilevel"/>
    <w:tmpl w:val="EC787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19"/>
  </w:num>
  <w:num w:numId="4">
    <w:abstractNumId w:val="8"/>
  </w:num>
  <w:num w:numId="5">
    <w:abstractNumId w:val="3"/>
  </w:num>
  <w:num w:numId="6">
    <w:abstractNumId w:val="22"/>
  </w:num>
  <w:num w:numId="7">
    <w:abstractNumId w:val="6"/>
  </w:num>
  <w:num w:numId="8">
    <w:abstractNumId w:val="21"/>
  </w:num>
  <w:num w:numId="9">
    <w:abstractNumId w:val="15"/>
  </w:num>
  <w:num w:numId="10">
    <w:abstractNumId w:val="9"/>
  </w:num>
  <w:num w:numId="11">
    <w:abstractNumId w:val="16"/>
  </w:num>
  <w:num w:numId="12">
    <w:abstractNumId w:val="1"/>
  </w:num>
  <w:num w:numId="13">
    <w:abstractNumId w:val="18"/>
  </w:num>
  <w:num w:numId="14">
    <w:abstractNumId w:val="20"/>
  </w:num>
  <w:num w:numId="15">
    <w:abstractNumId w:val="10"/>
  </w:num>
  <w:num w:numId="16">
    <w:abstractNumId w:val="23"/>
  </w:num>
  <w:num w:numId="17">
    <w:abstractNumId w:val="7"/>
  </w:num>
  <w:num w:numId="18">
    <w:abstractNumId w:val="2"/>
  </w:num>
  <w:num w:numId="19">
    <w:abstractNumId w:val="12"/>
  </w:num>
  <w:num w:numId="20">
    <w:abstractNumId w:val="13"/>
  </w:num>
  <w:num w:numId="21">
    <w:abstractNumId w:val="11"/>
  </w:num>
  <w:num w:numId="22">
    <w:abstractNumId w:val="24"/>
  </w:num>
  <w:num w:numId="23">
    <w:abstractNumId w:val="14"/>
  </w:num>
  <w:num w:numId="24">
    <w:abstractNumId w:val="0"/>
  </w:num>
  <w:num w:numId="25">
    <w:abstractNumId w:val="17"/>
  </w:num>
  <w:num w:numId="2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2086A"/>
    <w:rsid w:val="00033289"/>
    <w:rsid w:val="00033429"/>
    <w:rsid w:val="00036FA6"/>
    <w:rsid w:val="00077A04"/>
    <w:rsid w:val="00092874"/>
    <w:rsid w:val="000B7A66"/>
    <w:rsid w:val="000C03D6"/>
    <w:rsid w:val="000D16BC"/>
    <w:rsid w:val="000D1D46"/>
    <w:rsid w:val="000D7610"/>
    <w:rsid w:val="001856F5"/>
    <w:rsid w:val="0019104D"/>
    <w:rsid w:val="001C280F"/>
    <w:rsid w:val="001F50A4"/>
    <w:rsid w:val="002345D5"/>
    <w:rsid w:val="002356DF"/>
    <w:rsid w:val="00282893"/>
    <w:rsid w:val="00296D5E"/>
    <w:rsid w:val="002A71AA"/>
    <w:rsid w:val="002C7A95"/>
    <w:rsid w:val="002D5910"/>
    <w:rsid w:val="003210F1"/>
    <w:rsid w:val="003443CB"/>
    <w:rsid w:val="00366249"/>
    <w:rsid w:val="00383139"/>
    <w:rsid w:val="003A201D"/>
    <w:rsid w:val="003B3613"/>
    <w:rsid w:val="003D4E38"/>
    <w:rsid w:val="003E72D7"/>
    <w:rsid w:val="00481A62"/>
    <w:rsid w:val="00493D39"/>
    <w:rsid w:val="004A777C"/>
    <w:rsid w:val="004D3CF3"/>
    <w:rsid w:val="005359E8"/>
    <w:rsid w:val="005A6F1F"/>
    <w:rsid w:val="005B7022"/>
    <w:rsid w:val="00606D52"/>
    <w:rsid w:val="0061153A"/>
    <w:rsid w:val="0061608D"/>
    <w:rsid w:val="00633F3C"/>
    <w:rsid w:val="006359A0"/>
    <w:rsid w:val="00662E2F"/>
    <w:rsid w:val="006746CB"/>
    <w:rsid w:val="00693A51"/>
    <w:rsid w:val="006B0515"/>
    <w:rsid w:val="006B3194"/>
    <w:rsid w:val="006D0A25"/>
    <w:rsid w:val="006F2942"/>
    <w:rsid w:val="006F401C"/>
    <w:rsid w:val="007001DD"/>
    <w:rsid w:val="00724003"/>
    <w:rsid w:val="00740CCE"/>
    <w:rsid w:val="00746276"/>
    <w:rsid w:val="00774762"/>
    <w:rsid w:val="00781254"/>
    <w:rsid w:val="007A7136"/>
    <w:rsid w:val="007F0801"/>
    <w:rsid w:val="008419BD"/>
    <w:rsid w:val="00842691"/>
    <w:rsid w:val="00845D6A"/>
    <w:rsid w:val="00856439"/>
    <w:rsid w:val="00860295"/>
    <w:rsid w:val="00895367"/>
    <w:rsid w:val="008D783C"/>
    <w:rsid w:val="008F27FF"/>
    <w:rsid w:val="00972124"/>
    <w:rsid w:val="00972B59"/>
    <w:rsid w:val="009C00B4"/>
    <w:rsid w:val="009C1469"/>
    <w:rsid w:val="009C4796"/>
    <w:rsid w:val="009D339D"/>
    <w:rsid w:val="009F717A"/>
    <w:rsid w:val="00A5711A"/>
    <w:rsid w:val="00A5741D"/>
    <w:rsid w:val="00A86944"/>
    <w:rsid w:val="00AA16BF"/>
    <w:rsid w:val="00AA7AFF"/>
    <w:rsid w:val="00AF5416"/>
    <w:rsid w:val="00B07C84"/>
    <w:rsid w:val="00B21CD1"/>
    <w:rsid w:val="00B26C72"/>
    <w:rsid w:val="00B404CD"/>
    <w:rsid w:val="00BD6CFC"/>
    <w:rsid w:val="00BE47B0"/>
    <w:rsid w:val="00C34460"/>
    <w:rsid w:val="00C6423B"/>
    <w:rsid w:val="00C71F97"/>
    <w:rsid w:val="00C92C56"/>
    <w:rsid w:val="00C958BE"/>
    <w:rsid w:val="00C97880"/>
    <w:rsid w:val="00CC7F00"/>
    <w:rsid w:val="00CF57B3"/>
    <w:rsid w:val="00D14B55"/>
    <w:rsid w:val="00D84019"/>
    <w:rsid w:val="00D93DB0"/>
    <w:rsid w:val="00E00E4F"/>
    <w:rsid w:val="00E2423B"/>
    <w:rsid w:val="00E33DB2"/>
    <w:rsid w:val="00E46D59"/>
    <w:rsid w:val="00E80CF8"/>
    <w:rsid w:val="00E810B9"/>
    <w:rsid w:val="00EC24C7"/>
    <w:rsid w:val="00ED66EC"/>
    <w:rsid w:val="00F27183"/>
    <w:rsid w:val="00F51F53"/>
    <w:rsid w:val="00F6287E"/>
    <w:rsid w:val="00F91EE4"/>
    <w:rsid w:val="00FA27EE"/>
    <w:rsid w:val="00FA4BC8"/>
    <w:rsid w:val="00FB77E3"/>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styleId="Textpoznmkypodiarou">
    <w:name w:val="footnote text"/>
    <w:basedOn w:val="Normlny"/>
    <w:link w:val="TextpoznmkypodiarouChar"/>
    <w:rsid w:val="00774762"/>
    <w:pPr>
      <w:tabs>
        <w:tab w:val="clear" w:pos="2160"/>
        <w:tab w:val="clear" w:pos="2880"/>
        <w:tab w:val="clear" w:pos="4500"/>
      </w:tabs>
    </w:pPr>
    <w:rPr>
      <w:rFonts w:ascii="Times New Roman" w:hAnsi="Times New Roman" w:cs="Times New Roman"/>
      <w:lang w:val="cs-CZ"/>
    </w:rPr>
  </w:style>
  <w:style w:type="character" w:customStyle="1" w:styleId="TextpoznmkypodiarouChar">
    <w:name w:val="Text poznámky pod čiarou Char"/>
    <w:basedOn w:val="Predvolenpsmoodseku"/>
    <w:link w:val="Textpoznmkypodiarou"/>
    <w:rsid w:val="00774762"/>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346251978">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0739892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9C6F6-1BB2-4F21-A731-B935D1F4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856</Words>
  <Characters>4883</Characters>
  <Application>Microsoft Office Word</Application>
  <DocSecurity>0</DocSecurity>
  <Lines>40</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43</cp:revision>
  <dcterms:created xsi:type="dcterms:W3CDTF">2019-05-12T20:23:00Z</dcterms:created>
  <dcterms:modified xsi:type="dcterms:W3CDTF">2020-12-03T13:39:00Z</dcterms:modified>
</cp:coreProperties>
</file>