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>Rámcová dohoda č. OVO2-201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9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/000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652-xxx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517E7E">
        <w:rPr>
          <w:rFonts w:ascii="Arial Narrow" w:hAnsi="Arial Narrow" w:cs="Arial Narrow"/>
          <w:b/>
          <w:bCs/>
          <w:sz w:val="22"/>
          <w:szCs w:val="22"/>
        </w:rPr>
        <w:t>výzbrojného materiálu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</w:t>
      </w:r>
      <w:r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</w:r>
      <w:r w:rsidR="00151AA3">
        <w:rPr>
          <w:rFonts w:ascii="Arial Narrow" w:hAnsi="Arial Narrow" w:cs="Arial Narrow"/>
          <w:sz w:val="22"/>
          <w:szCs w:val="22"/>
        </w:rPr>
        <w:t>g</w:t>
      </w:r>
      <w:r>
        <w:rPr>
          <w:rFonts w:ascii="Arial Narrow" w:hAnsi="Arial Narrow" w:cs="Arial Narrow"/>
          <w:sz w:val="22"/>
          <w:szCs w:val="22"/>
        </w:rPr>
        <w:t>enerálny tajomník</w:t>
      </w:r>
      <w:r w:rsidRPr="002B4EAF">
        <w:rPr>
          <w:rFonts w:ascii="Arial Narrow" w:hAnsi="Arial Narrow" w:cs="Arial Narrow"/>
          <w:sz w:val="22"/>
          <w:szCs w:val="22"/>
        </w:rPr>
        <w:t xml:space="preserve"> služobného úradu MV SR, </w:t>
      </w:r>
    </w:p>
    <w:p w:rsidR="0041187B" w:rsidRPr="00877D19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</w:r>
      <w:r w:rsidR="0041187B" w:rsidRPr="002B4EAF">
        <w:rPr>
          <w:rFonts w:ascii="Arial Narrow" w:hAnsi="Arial Narrow" w:cs="Arial Narrow"/>
          <w:sz w:val="22"/>
          <w:szCs w:val="22"/>
        </w:rPr>
        <w:t>na základe plnomocenstva č. p. KM-OPS4-201</w:t>
      </w:r>
      <w:r w:rsidR="0041187B">
        <w:rPr>
          <w:rFonts w:ascii="Arial Narrow" w:hAnsi="Arial Narrow" w:cs="Arial Narrow"/>
          <w:sz w:val="22"/>
          <w:szCs w:val="22"/>
        </w:rPr>
        <w:t>8</w:t>
      </w:r>
      <w:r w:rsidR="0041187B" w:rsidRPr="002B4EAF">
        <w:rPr>
          <w:rFonts w:ascii="Arial Narrow" w:hAnsi="Arial Narrow" w:cs="Arial Narrow"/>
          <w:sz w:val="22"/>
          <w:szCs w:val="22"/>
        </w:rPr>
        <w:t>/00</w:t>
      </w:r>
      <w:r w:rsidR="0041187B">
        <w:rPr>
          <w:rFonts w:ascii="Arial Narrow" w:hAnsi="Arial Narrow" w:cs="Arial Narrow"/>
          <w:sz w:val="22"/>
          <w:szCs w:val="22"/>
        </w:rPr>
        <w:t>1604</w:t>
      </w:r>
      <w:r w:rsidR="0041187B" w:rsidRPr="002B4EAF">
        <w:rPr>
          <w:rFonts w:ascii="Arial Narrow" w:hAnsi="Arial Narrow" w:cs="Arial Narrow"/>
          <w:sz w:val="22"/>
          <w:szCs w:val="22"/>
        </w:rPr>
        <w:t>-</w:t>
      </w:r>
      <w:r w:rsidR="0041187B">
        <w:rPr>
          <w:rFonts w:ascii="Arial Narrow" w:hAnsi="Arial Narrow" w:cs="Arial Narrow"/>
          <w:sz w:val="22"/>
          <w:szCs w:val="22"/>
        </w:rPr>
        <w:t>117 zo dňa 30.apríla</w:t>
      </w:r>
      <w:r w:rsidR="00F01500">
        <w:rPr>
          <w:rFonts w:ascii="Arial Narrow" w:hAnsi="Arial Narrow" w:cs="Arial Narrow"/>
          <w:sz w:val="22"/>
          <w:szCs w:val="22"/>
        </w:rPr>
        <w:t xml:space="preserve"> </w:t>
      </w:r>
      <w:r w:rsidR="0041187B">
        <w:rPr>
          <w:rFonts w:ascii="Arial Narrow" w:hAnsi="Arial Narrow" w:cs="Arial Narrow"/>
          <w:sz w:val="22"/>
          <w:szCs w:val="22"/>
        </w:rPr>
        <w:t>2018</w:t>
      </w:r>
      <w:r w:rsidR="0041187B"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517E7E">
        <w:rPr>
          <w:rFonts w:ascii="Arial Narrow" w:hAnsi="Arial Narrow"/>
          <w:sz w:val="22"/>
          <w:szCs w:val="22"/>
          <w:lang w:val="sk-SK" w:eastAsia="en-US"/>
        </w:rPr>
        <w:t>Výzbrojný materiál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Pr="00D11521" w:rsidRDefault="00E865C0" w:rsidP="00E865C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>verejného obstarávania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zabezpečenie kúpy Tovaru (tak ako je tento pojem zadefinovaný nižšie v</w:t>
      </w:r>
      <w:r w:rsidR="008C22C0">
        <w:rPr>
          <w:rFonts w:ascii="Arial Narrow" w:hAnsi="Arial Narrow"/>
          <w:bCs/>
          <w:iCs/>
          <w:sz w:val="22"/>
          <w:szCs w:val="22"/>
        </w:rPr>
        <w:t xml:space="preserve"> čl. I. </w:t>
      </w:r>
      <w:r w:rsidRPr="0060143A">
        <w:rPr>
          <w:rFonts w:ascii="Arial Narrow" w:hAnsi="Arial Narrow"/>
          <w:bCs/>
          <w:iCs/>
          <w:sz w:val="22"/>
          <w:szCs w:val="22"/>
        </w:rPr>
        <w:t>bode 1.1.</w:t>
      </w:r>
      <w:r>
        <w:rPr>
          <w:rFonts w:ascii="Arial Narrow" w:hAnsi="Arial Narrow"/>
          <w:bCs/>
          <w:iCs/>
          <w:sz w:val="22"/>
          <w:szCs w:val="22"/>
        </w:rPr>
        <w:t xml:space="preserve"> a</w:t>
      </w:r>
      <w:r w:rsidR="008C22C0">
        <w:rPr>
          <w:rFonts w:ascii="Arial Narrow" w:hAnsi="Arial Narrow"/>
          <w:bCs/>
          <w:iCs/>
          <w:sz w:val="22"/>
          <w:szCs w:val="22"/>
        </w:rPr>
        <w:t xml:space="preserve"> čl. II. Bode </w:t>
      </w:r>
      <w:r w:rsidRPr="0060143A">
        <w:rPr>
          <w:rFonts w:ascii="Arial Narrow" w:hAnsi="Arial Narrow"/>
          <w:bCs/>
          <w:iCs/>
          <w:sz w:val="22"/>
          <w:szCs w:val="22"/>
        </w:rPr>
        <w:t>2.1.</w:t>
      </w:r>
      <w:r>
        <w:rPr>
          <w:rFonts w:ascii="Arial Narrow" w:hAnsi="Arial Narrow"/>
          <w:bCs/>
          <w:iCs/>
          <w:sz w:val="22"/>
          <w:szCs w:val="22"/>
        </w:rPr>
        <w:t xml:space="preserve"> a v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Prílohe č. 1 Dohody), ktorý bude v súlade s touto Dohodou </w:t>
      </w:r>
      <w:r w:rsidRPr="00D11521">
        <w:rPr>
          <w:rFonts w:ascii="Arial Narrow" w:hAnsi="Arial Narrow"/>
          <w:bCs/>
          <w:iCs/>
          <w:sz w:val="22"/>
          <w:szCs w:val="22"/>
        </w:rPr>
        <w:t>a</w:t>
      </w:r>
      <w:r w:rsidR="00F13233">
        <w:rPr>
          <w:rFonts w:ascii="Arial Narrow" w:hAnsi="Arial Narrow"/>
          <w:bCs/>
          <w:iCs/>
          <w:sz w:val="22"/>
          <w:szCs w:val="22"/>
        </w:rPr>
        <w:t xml:space="preserve"> písomnými </w:t>
      </w:r>
      <w:r>
        <w:rPr>
          <w:rFonts w:ascii="Arial Narrow" w:hAnsi="Arial Narrow"/>
          <w:bCs/>
          <w:iCs/>
          <w:sz w:val="22"/>
          <w:szCs w:val="22"/>
        </w:rPr>
        <w:t>objednávkami</w:t>
      </w:r>
      <w:r w:rsidRPr="00D11521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E865C0" w:rsidRPr="005947A1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proofErr w:type="spellStart"/>
      <w:r w:rsidR="00517E7E">
        <w:rPr>
          <w:rFonts w:ascii="Arial Narrow" w:hAnsi="Arial Narrow"/>
          <w:sz w:val="22"/>
          <w:szCs w:val="22"/>
        </w:rPr>
        <w:t>vybíjacie</w:t>
      </w:r>
      <w:proofErr w:type="spellEnd"/>
      <w:r w:rsidR="00517E7E">
        <w:rPr>
          <w:rFonts w:ascii="Arial Narrow" w:hAnsi="Arial Narrow"/>
          <w:sz w:val="22"/>
          <w:szCs w:val="22"/>
        </w:rPr>
        <w:t xml:space="preserve"> zariadenie</w:t>
      </w:r>
      <w:r w:rsidR="00F13233">
        <w:rPr>
          <w:rFonts w:ascii="Arial Narrow" w:hAnsi="Arial Narrow"/>
          <w:sz w:val="22"/>
          <w:szCs w:val="22"/>
        </w:rPr>
        <w:t xml:space="preserve"> (pre časť 1) / </w:t>
      </w:r>
      <w:r w:rsidR="00517E7E">
        <w:rPr>
          <w:rFonts w:ascii="Arial Narrow" w:hAnsi="Arial Narrow"/>
          <w:sz w:val="22"/>
          <w:szCs w:val="22"/>
        </w:rPr>
        <w:t>zachytávač na krátke zbrane</w:t>
      </w:r>
      <w:r w:rsidR="00F13233">
        <w:rPr>
          <w:rFonts w:ascii="Arial Narrow" w:hAnsi="Arial Narrow"/>
          <w:sz w:val="22"/>
          <w:szCs w:val="22"/>
        </w:rPr>
        <w:t xml:space="preserve"> (pre časť 2),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).</w:t>
      </w:r>
      <w:r w:rsidR="008C5312">
        <w:rPr>
          <w:rFonts w:ascii="Arial Narrow" w:hAnsi="Arial Narrow"/>
          <w:sz w:val="22"/>
          <w:szCs w:val="22"/>
        </w:rPr>
        <w:t xml:space="preserve"> Kupujúcemu záväzok Kupujúceho Tovar prevziať a zaplatiť kúpnu cenu dohodnutú v súlade s podmienkami Dohody.</w:t>
      </w:r>
    </w:p>
    <w:p w:rsidR="00E865C0" w:rsidRPr="005947A1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kúp</w:t>
      </w:r>
      <w:r>
        <w:rPr>
          <w:rFonts w:ascii="Arial Narrow" w:hAnsi="Arial Narrow"/>
          <w:sz w:val="22"/>
          <w:szCs w:val="22"/>
        </w:rPr>
        <w:t>a</w:t>
      </w:r>
      <w:r w:rsidRPr="0060143A">
        <w:rPr>
          <w:rFonts w:ascii="Arial Narrow" w:hAnsi="Arial Narrow"/>
          <w:sz w:val="22"/>
          <w:szCs w:val="22"/>
        </w:rPr>
        <w:t xml:space="preserve"> Tovaru podľa tejto Dohody </w:t>
      </w:r>
      <w:r>
        <w:rPr>
          <w:rFonts w:ascii="Arial Narrow" w:hAnsi="Arial Narrow"/>
          <w:sz w:val="22"/>
          <w:szCs w:val="22"/>
        </w:rPr>
        <w:t xml:space="preserve">bude realizovaná na základe písomnej objednávky, </w:t>
      </w:r>
      <w:r w:rsidRPr="0060143A">
        <w:rPr>
          <w:rFonts w:ascii="Arial Narrow" w:hAnsi="Arial Narrow"/>
          <w:sz w:val="22"/>
          <w:szCs w:val="22"/>
        </w:rPr>
        <w:t xml:space="preserve">v ktorej budú špecifikované všetky detaily kúpy Tovaru (ďalej len </w:t>
      </w:r>
      <w:r w:rsidRPr="005947A1">
        <w:rPr>
          <w:rFonts w:ascii="Arial Narrow" w:hAnsi="Arial Narrow"/>
          <w:b/>
          <w:sz w:val="22"/>
          <w:szCs w:val="22"/>
        </w:rPr>
        <w:t>„Objednávka“</w:t>
      </w:r>
      <w:r w:rsidRPr="0060143A">
        <w:rPr>
          <w:rFonts w:ascii="Arial Narrow" w:hAnsi="Arial Narrow"/>
          <w:sz w:val="22"/>
          <w:szCs w:val="22"/>
        </w:rPr>
        <w:t>).</w:t>
      </w: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  <w:r w:rsidRPr="0060143A"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E865C0" w:rsidRPr="006456E4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E865C0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že </w:t>
      </w:r>
      <w:r w:rsidR="008C5312">
        <w:rPr>
          <w:rFonts w:ascii="Arial Narrow" w:hAnsi="Arial Narrow"/>
          <w:sz w:val="22"/>
          <w:szCs w:val="22"/>
          <w:lang w:val="sk-SK"/>
        </w:rPr>
        <w:t xml:space="preserve">písomné </w:t>
      </w:r>
      <w:r>
        <w:rPr>
          <w:rFonts w:ascii="Arial Narrow" w:hAnsi="Arial Narrow"/>
          <w:sz w:val="22"/>
          <w:szCs w:val="22"/>
        </w:rPr>
        <w:t>Objednávky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spracované </w:t>
      </w:r>
      <w:r w:rsidRPr="0060143A">
        <w:rPr>
          <w:rFonts w:ascii="Arial Narrow" w:hAnsi="Arial Narrow"/>
          <w:sz w:val="22"/>
          <w:szCs w:val="22"/>
        </w:rPr>
        <w:t>na základe tejto Dohody budú zodpovedať podmienkam dohodnutým v tejto Dohode, najmä s ohľadom na maximálne jednotkové ceny Tovaru</w:t>
      </w:r>
      <w:r>
        <w:rPr>
          <w:rFonts w:ascii="Arial Narrow" w:hAnsi="Arial Narrow"/>
          <w:sz w:val="22"/>
          <w:szCs w:val="22"/>
        </w:rPr>
        <w:t>.</w:t>
      </w:r>
    </w:p>
    <w:p w:rsidR="00084A1D" w:rsidRDefault="00084A1D" w:rsidP="009F5A12">
      <w:pPr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8C5312" w:rsidRDefault="008C53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sa považuje za uhradenú dňom odpísania finančných prostriedkov z účtu Kupujúceho uvedeného v záhlaví tejto Dohody.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</w:t>
      </w:r>
      <w:r w:rsidR="005B4B6C">
        <w:rPr>
          <w:rFonts w:ascii="Arial Narrow" w:hAnsi="Arial Narrow" w:cs="Arial Narrow"/>
          <w:sz w:val="22"/>
          <w:szCs w:val="22"/>
        </w:rPr>
        <w:t xml:space="preserve">písomnej </w:t>
      </w:r>
      <w:r w:rsidRPr="007872D6">
        <w:rPr>
          <w:rFonts w:ascii="Arial Narrow" w:hAnsi="Arial Narrow" w:cs="Arial Narrow"/>
          <w:sz w:val="22"/>
          <w:szCs w:val="22"/>
        </w:rPr>
        <w:t>objednávky Kupujúcemu dodá Tovar v kvalite špecifikovanej v Prílohe č.1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691510" w:rsidRPr="000C4493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dodania Tovaru je </w:t>
      </w:r>
      <w:r>
        <w:rPr>
          <w:rFonts w:ascii="Arial Narrow" w:hAnsi="Arial Narrow"/>
          <w:sz w:val="22"/>
          <w:szCs w:val="22"/>
        </w:rPr>
        <w:t>Ústredný sklad MV SR</w:t>
      </w:r>
      <w:r w:rsidRPr="00423238">
        <w:rPr>
          <w:rFonts w:ascii="Arial Narrow" w:hAnsi="Arial Narrow" w:cs="Arial"/>
          <w:sz w:val="22"/>
          <w:szCs w:val="22"/>
        </w:rPr>
        <w:t>, Príboj 5</w:t>
      </w:r>
      <w:r>
        <w:rPr>
          <w:rFonts w:ascii="Arial Narrow" w:hAnsi="Arial Narrow" w:cs="Arial"/>
          <w:sz w:val="22"/>
          <w:szCs w:val="22"/>
        </w:rPr>
        <w:t>60</w:t>
      </w:r>
      <w:r w:rsidRPr="00423238">
        <w:rPr>
          <w:rFonts w:ascii="Arial Narrow" w:hAnsi="Arial Narrow" w:cs="Arial"/>
          <w:sz w:val="22"/>
          <w:szCs w:val="22"/>
        </w:rPr>
        <w:t>, 976 13 Slovenská Ľupča</w:t>
      </w:r>
      <w:r w:rsidRPr="000C4493">
        <w:rPr>
          <w:rFonts w:ascii="Arial Narrow" w:hAnsi="Arial Narrow"/>
          <w:color w:val="FF0000"/>
          <w:sz w:val="22"/>
          <w:szCs w:val="22"/>
        </w:rPr>
        <w:t>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Predávajúci dodá Tovar Kupujúcemu v</w:t>
      </w:r>
      <w:r>
        <w:rPr>
          <w:rFonts w:ascii="Arial Narrow" w:hAnsi="Arial Narrow" w:cs="Arial Narrow"/>
          <w:sz w:val="22"/>
          <w:szCs w:val="22"/>
        </w:rPr>
        <w:t> </w:t>
      </w:r>
      <w:r w:rsidRPr="00877D19">
        <w:rPr>
          <w:rFonts w:ascii="Arial Narrow" w:hAnsi="Arial Narrow" w:cs="Arial Narrow"/>
          <w:sz w:val="22"/>
          <w:szCs w:val="22"/>
        </w:rPr>
        <w:t>množstve</w:t>
      </w:r>
      <w:r>
        <w:rPr>
          <w:rFonts w:ascii="Arial Narrow" w:hAnsi="Arial Narrow" w:cs="Arial Narrow"/>
          <w:sz w:val="22"/>
          <w:szCs w:val="22"/>
        </w:rPr>
        <w:t xml:space="preserve"> a druhu </w:t>
      </w:r>
      <w:r w:rsidRPr="00877D19">
        <w:rPr>
          <w:rFonts w:ascii="Arial Narrow" w:hAnsi="Arial Narrow" w:cs="Arial Narrow"/>
          <w:sz w:val="22"/>
          <w:szCs w:val="22"/>
        </w:rPr>
        <w:t xml:space="preserve">uvedenom v samostatnej písomnej </w:t>
      </w:r>
      <w:r w:rsidRPr="001206F6">
        <w:rPr>
          <w:rFonts w:ascii="Arial Narrow" w:hAnsi="Arial Narrow" w:cs="Arial Narrow"/>
          <w:sz w:val="22"/>
          <w:szCs w:val="22"/>
        </w:rPr>
        <w:t>Objednávke, ktorú Predávajúci písomne potvrdí.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Tovar musí byť dodaný v súlade s touto Dohodou riadne zabalený.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5B4B6C">
        <w:rPr>
          <w:rFonts w:ascii="Arial Narrow" w:hAnsi="Arial Narrow"/>
          <w:sz w:val="22"/>
          <w:szCs w:val="22"/>
        </w:rPr>
        <w:t xml:space="preserve"> písomnej </w:t>
      </w:r>
      <w:r w:rsidRPr="001206F6">
        <w:rPr>
          <w:rFonts w:ascii="Arial Narrow" w:hAnsi="Arial Narrow"/>
          <w:sz w:val="22"/>
          <w:szCs w:val="22"/>
        </w:rPr>
        <w:t xml:space="preserve">Objednávky. V preberacom protokole Kupujúci vyznačí riadne dodanie Tovaru. V prípade vád sa tieto vyznačia v preberacom protokole a tento môže byť podkladom pre fakturácie až po odstránení vád dodávky Tovaru. Preberacím protokolom môže byť aj dodací list. 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Predávajúci je povinný dodať Tovar špecifikovaný v</w:t>
      </w:r>
      <w:r w:rsidR="005B4B6C">
        <w:rPr>
          <w:rFonts w:ascii="Arial Narrow" w:hAnsi="Arial Narrow" w:cs="Arial Narrow"/>
          <w:sz w:val="22"/>
          <w:szCs w:val="22"/>
        </w:rPr>
        <w:t xml:space="preserve"> písomnej </w:t>
      </w:r>
      <w:r w:rsidRPr="001206F6">
        <w:rPr>
          <w:rFonts w:ascii="Arial Narrow" w:hAnsi="Arial Narrow" w:cs="Arial Narrow"/>
          <w:sz w:val="22"/>
          <w:szCs w:val="22"/>
        </w:rPr>
        <w:t xml:space="preserve">Objednávke Kupujúceho do miesta plnenia najneskôr do </w:t>
      </w:r>
      <w:r w:rsidR="008C22C0">
        <w:rPr>
          <w:rFonts w:ascii="Arial Narrow" w:hAnsi="Arial Narrow" w:cs="Arial Narrow"/>
          <w:sz w:val="22"/>
          <w:szCs w:val="22"/>
        </w:rPr>
        <w:t>tridsiatich</w:t>
      </w:r>
      <w:r w:rsidR="00BE2E94">
        <w:rPr>
          <w:rFonts w:ascii="Arial Narrow" w:hAnsi="Arial Narrow" w:cs="Arial Narrow"/>
          <w:sz w:val="22"/>
          <w:szCs w:val="22"/>
        </w:rPr>
        <w:t xml:space="preserve"> (</w:t>
      </w:r>
      <w:r w:rsidR="008C22C0">
        <w:rPr>
          <w:rFonts w:ascii="Arial Narrow" w:hAnsi="Arial Narrow" w:cs="Arial Narrow"/>
          <w:sz w:val="22"/>
          <w:szCs w:val="22"/>
        </w:rPr>
        <w:t>3</w:t>
      </w:r>
      <w:r>
        <w:rPr>
          <w:rFonts w:ascii="Arial Narrow" w:hAnsi="Arial Narrow" w:cs="Arial Narrow"/>
          <w:sz w:val="22"/>
          <w:szCs w:val="22"/>
        </w:rPr>
        <w:t>0)</w:t>
      </w:r>
      <w:r w:rsidRPr="001206F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dní</w:t>
      </w:r>
      <w:r w:rsidRPr="001206F6">
        <w:rPr>
          <w:rFonts w:ascii="Arial Narrow" w:hAnsi="Arial Narrow" w:cs="Arial Narrow"/>
          <w:sz w:val="22"/>
          <w:szCs w:val="22"/>
        </w:rPr>
        <w:t xml:space="preserve"> od doručenia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1206F6">
        <w:rPr>
          <w:rFonts w:ascii="Arial Narrow" w:hAnsi="Arial Narrow" w:cs="Arial Narrow"/>
          <w:sz w:val="22"/>
          <w:szCs w:val="22"/>
        </w:rPr>
        <w:t>Objednávky.</w:t>
      </w:r>
      <w:r w:rsidRPr="001206F6"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jeden deň pred predpokladaným dňom dodania.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Ak Predávajúci neoznámi termín dodávky</w:t>
      </w:r>
      <w:r w:rsidR="005B4B6C">
        <w:rPr>
          <w:rFonts w:ascii="Arial Narrow" w:hAnsi="Arial Narrow" w:cs="Arial Narrow"/>
          <w:sz w:val="22"/>
          <w:szCs w:val="22"/>
        </w:rPr>
        <w:t xml:space="preserve"> Tovaru</w:t>
      </w:r>
      <w:r w:rsidRPr="001206F6">
        <w:rPr>
          <w:rFonts w:ascii="Arial Narrow" w:hAnsi="Arial Narrow" w:cs="Arial Narrow"/>
          <w:sz w:val="22"/>
          <w:szCs w:val="22"/>
        </w:rPr>
        <w:t>, Kupujúci</w:t>
      </w:r>
      <w:r w:rsidRPr="007872D6">
        <w:rPr>
          <w:rFonts w:ascii="Arial Narrow" w:hAnsi="Arial Narrow" w:cs="Arial Narrow"/>
          <w:sz w:val="22"/>
          <w:szCs w:val="22"/>
        </w:rPr>
        <w:t xml:space="preserve"> nie je povinný prevziať dodávku </w:t>
      </w:r>
      <w:r w:rsidR="005B4B6C">
        <w:rPr>
          <w:rFonts w:ascii="Arial Narrow" w:hAnsi="Arial Narrow" w:cs="Arial Narrow"/>
          <w:sz w:val="22"/>
          <w:szCs w:val="22"/>
        </w:rPr>
        <w:t xml:space="preserve">Tovaru </w:t>
      </w:r>
      <w:r w:rsidRPr="007872D6">
        <w:rPr>
          <w:rFonts w:ascii="Arial Narrow" w:hAnsi="Arial Narrow" w:cs="Arial Narrow"/>
          <w:sz w:val="22"/>
          <w:szCs w:val="22"/>
        </w:rPr>
        <w:t xml:space="preserve">v deň doručenia, ale až v nasledujúci deň. Náklady spojené s odmietnutím prevzatia neoznámenej dodávky </w:t>
      </w:r>
      <w:r w:rsidR="005B4B6C">
        <w:rPr>
          <w:rFonts w:ascii="Arial Narrow" w:hAnsi="Arial Narrow" w:cs="Arial Narrow"/>
          <w:sz w:val="22"/>
          <w:szCs w:val="22"/>
        </w:rPr>
        <w:t xml:space="preserve">Tovaru </w:t>
      </w:r>
      <w:r w:rsidRPr="007872D6">
        <w:rPr>
          <w:rFonts w:ascii="Arial Narrow" w:hAnsi="Arial Narrow" w:cs="Arial Narrow"/>
          <w:sz w:val="22"/>
          <w:szCs w:val="22"/>
        </w:rPr>
        <w:t>a jej opätovným doručením znáša Predávajúci.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>Predávajúci odovzdá Tovar na základe preberacieho protokolu</w:t>
      </w:r>
      <w:r>
        <w:rPr>
          <w:rFonts w:ascii="Arial Narrow" w:hAnsi="Arial Narrow" w:cs="Arial Narrow"/>
          <w:sz w:val="22"/>
          <w:szCs w:val="22"/>
        </w:rPr>
        <w:t>, prípadne dodacieho listu</w:t>
      </w:r>
      <w:r w:rsidRPr="007872D6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Po dodaní Tovaru Kupujúci potvrdí jeho prevzatie podpísaním preberacieho protokolu, prípadne dodacieho listu. Potvrdený preberací protokol (</w:t>
      </w:r>
      <w:r w:rsidR="005B4B6C">
        <w:rPr>
          <w:rFonts w:ascii="Arial Narrow" w:hAnsi="Arial Narrow" w:cs="Arial Narrow"/>
          <w:sz w:val="22"/>
          <w:szCs w:val="22"/>
        </w:rPr>
        <w:t xml:space="preserve">prípadne </w:t>
      </w:r>
      <w:r w:rsidRPr="001206F6">
        <w:rPr>
          <w:rFonts w:ascii="Arial Narrow" w:hAnsi="Arial Narrow" w:cs="Arial Narrow"/>
          <w:sz w:val="22"/>
          <w:szCs w:val="22"/>
        </w:rPr>
        <w:t>dodací list) a</w:t>
      </w:r>
      <w:r w:rsidR="005B4B6C">
        <w:rPr>
          <w:rFonts w:ascii="Arial Narrow" w:hAnsi="Arial Narrow" w:cs="Arial Narrow"/>
          <w:sz w:val="22"/>
          <w:szCs w:val="22"/>
        </w:rPr>
        <w:t xml:space="preserve"> písomná</w:t>
      </w:r>
      <w:r w:rsidRPr="001206F6">
        <w:rPr>
          <w:rFonts w:ascii="Arial Narrow" w:hAnsi="Arial Narrow" w:cs="Arial Narrow"/>
          <w:sz w:val="22"/>
          <w:szCs w:val="22"/>
        </w:rPr>
        <w:t xml:space="preserve"> Objednávka sú podkladom pre vystavenie faktúry a budú tvoriť jej neoddeliteľnú súčasť.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V prípade </w:t>
      </w:r>
      <w:r w:rsidRPr="001206F6">
        <w:rPr>
          <w:rFonts w:ascii="Arial Narrow" w:hAnsi="Arial Narrow" w:cs="Arial Narrow"/>
          <w:sz w:val="22"/>
          <w:szCs w:val="22"/>
        </w:rPr>
        <w:t>dodania</w:t>
      </w:r>
      <w:r w:rsidRPr="001206F6">
        <w:rPr>
          <w:rFonts w:ascii="Arial Narrow" w:hAnsi="Arial Narrow"/>
          <w:sz w:val="22"/>
          <w:szCs w:val="22"/>
        </w:rPr>
        <w:t xml:space="preserve"> Tovaru pred stanoveným časom dodania </w:t>
      </w:r>
      <w:r w:rsidR="005B4B6C">
        <w:rPr>
          <w:rFonts w:ascii="Arial Narrow" w:hAnsi="Arial Narrow"/>
          <w:sz w:val="22"/>
          <w:szCs w:val="22"/>
        </w:rPr>
        <w:t xml:space="preserve">Tovaru </w:t>
      </w:r>
      <w:r w:rsidRPr="001206F6">
        <w:rPr>
          <w:rFonts w:ascii="Arial Narrow" w:hAnsi="Arial Narrow"/>
          <w:sz w:val="22"/>
          <w:szCs w:val="22"/>
        </w:rPr>
        <w:t>nemá Predávajúci nárok na finančné zvýhodnenie.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691510" w:rsidRPr="001206F6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Predávajúcemu cenu podľa </w:t>
      </w:r>
      <w:r w:rsidR="005B4B6C"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 xml:space="preserve">Objednávky na základe faktúry vystavenej Predávajúcim po dodaní Tovaru a podpísaní preberacieho protokolu alebo dodacieho listu s vyznačením riadneho dodania Tovaru. Kupujúci neposkytne Predávajúcemu žiaden preddavok na zrealizovanie </w:t>
      </w:r>
      <w:r w:rsidR="005B4B6C"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>Objednávky.</w:t>
      </w:r>
    </w:p>
    <w:p w:rsidR="00691510" w:rsidRPr="001206F6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Každá faktúra vystavená Predávajúcim bude obsahovať náležitosti podľa zákona č. 222/2004 Z. z. o dani z pridanej hodnoty v znení neskorších predpisov. Neoddeliteľnou súčasťou faktúry Predávajúceho bude originál/fotokópia preberacieho protokolu alebo dodacieho listu s vyznačením </w:t>
      </w:r>
      <w:r w:rsidR="005B4B6C">
        <w:rPr>
          <w:rFonts w:ascii="Arial Narrow" w:hAnsi="Arial Narrow"/>
          <w:sz w:val="22"/>
          <w:szCs w:val="22"/>
        </w:rPr>
        <w:t>bezchybného</w:t>
      </w:r>
      <w:r w:rsidRPr="001206F6">
        <w:rPr>
          <w:rFonts w:ascii="Arial Narrow" w:hAnsi="Arial Narrow"/>
          <w:sz w:val="22"/>
          <w:szCs w:val="22"/>
        </w:rPr>
        <w:t xml:space="preserve"> dodania Tovaru potvrdeného Kupujúcim.</w:t>
      </w:r>
    </w:p>
    <w:p w:rsidR="00691510" w:rsidRPr="002E055D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Lehota splatnosti faktúry Predávajúceho je 30</w:t>
      </w:r>
      <w:r w:rsidR="00025E9B">
        <w:rPr>
          <w:rFonts w:ascii="Arial Narrow" w:hAnsi="Arial Narrow"/>
          <w:sz w:val="22"/>
          <w:szCs w:val="22"/>
        </w:rPr>
        <w:t xml:space="preserve"> (tridsať)</w:t>
      </w:r>
      <w:r w:rsidRPr="001206F6">
        <w:rPr>
          <w:rFonts w:ascii="Arial Narrow" w:hAnsi="Arial Narrow"/>
          <w:sz w:val="22"/>
          <w:szCs w:val="22"/>
        </w:rPr>
        <w:t xml:space="preserve"> dní odo dňa doručenia</w:t>
      </w:r>
      <w:r w:rsidRPr="0060143A">
        <w:rPr>
          <w:rFonts w:ascii="Arial Narrow" w:hAnsi="Arial Narrow"/>
          <w:sz w:val="22"/>
          <w:szCs w:val="22"/>
        </w:rPr>
        <w:t xml:space="preserve"> faktúry Kupujúcemu. Ak predložená faktúra nebude vystavená v súlade s touto Dohodou a/alebo </w:t>
      </w:r>
      <w:r w:rsidR="00025E9B">
        <w:rPr>
          <w:rFonts w:ascii="Arial Narrow" w:hAnsi="Arial Narrow"/>
          <w:sz w:val="22"/>
          <w:szCs w:val="22"/>
        </w:rPr>
        <w:t xml:space="preserve">písomnou </w:t>
      </w:r>
      <w:r>
        <w:rPr>
          <w:rFonts w:ascii="Arial Narrow" w:hAnsi="Arial Narrow"/>
          <w:sz w:val="22"/>
          <w:szCs w:val="22"/>
        </w:rPr>
        <w:t>Objednávkou</w:t>
      </w:r>
      <w:r w:rsidRPr="0060143A">
        <w:rPr>
          <w:rFonts w:ascii="Arial Narrow" w:hAnsi="Arial Narrow"/>
          <w:sz w:val="22"/>
          <w:szCs w:val="22"/>
        </w:rPr>
        <w:t>, Kupujúci ju bezodkladne vráti Predávajúcemu na prepracovanie. Opravená faktúra je splatná do 30</w:t>
      </w:r>
      <w:r w:rsidR="00025E9B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jej opätovného doručenia Kupujúcemu.</w:t>
      </w:r>
    </w:p>
    <w:p w:rsidR="00691510" w:rsidRPr="002E055D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:rsidR="00691510" w:rsidRPr="0060143A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</w:t>
      </w:r>
      <w:r w:rsidR="00521C5E">
        <w:rPr>
          <w:rFonts w:ascii="Arial Narrow" w:hAnsi="Arial Narrow"/>
          <w:sz w:val="22"/>
          <w:szCs w:val="22"/>
        </w:rPr>
        <w:t xml:space="preserve"> Predávajúceho uvedeným v záhlaví Dohody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8C22C0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písomnej </w:t>
      </w:r>
      <w:r>
        <w:rPr>
          <w:rFonts w:ascii="Arial Narrow" w:hAnsi="Arial Narrow"/>
          <w:sz w:val="22"/>
          <w:szCs w:val="22"/>
        </w:rPr>
        <w:t>Objednávky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bookmarkStart w:id="0" w:name="_GoBack"/>
      <w:bookmarkEnd w:id="0"/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060995" w:rsidRPr="0060143A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Pr="00060995" w:rsidRDefault="00060995" w:rsidP="00734E8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 písomnou 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Objednávky.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34E8D" w:rsidRPr="00210B9B" w:rsidRDefault="00734E8D" w:rsidP="00734E8D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lastRenderedPageBreak/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    Opis predmetu zákazky z ponuky Predávajúceho predloženej do</w:t>
      </w:r>
    </w:p>
    <w:p w:rsidR="00210B9B" w:rsidRPr="00210B9B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210B9B">
        <w:rPr>
          <w:rFonts w:ascii="Arial Narrow" w:hAnsi="Arial Narrow"/>
          <w:sz w:val="22"/>
          <w:szCs w:val="22"/>
        </w:rPr>
        <w:t xml:space="preserve">                                                                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Pr="003843D7" w:rsidRDefault="00210B9B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F5A12" w:rsidRPr="00A87EBF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g</w:t>
      </w:r>
      <w:r w:rsidR="009F5A12">
        <w:rPr>
          <w:rFonts w:ascii="Arial Narrow" w:hAnsi="Arial Narrow" w:cs="Arial Narrow"/>
          <w:sz w:val="22"/>
          <w:szCs w:val="22"/>
        </w:rPr>
        <w:t>enerálny tajomník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 služobného úradu MV SR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38" w:rsidRDefault="00D76938" w:rsidP="00464EC7">
      <w:r>
        <w:separator/>
      </w:r>
    </w:p>
  </w:endnote>
  <w:endnote w:type="continuationSeparator" w:id="0">
    <w:p w:rsidR="00D76938" w:rsidRDefault="00D76938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38" w:rsidRDefault="00D76938" w:rsidP="00464EC7">
      <w:r>
        <w:separator/>
      </w:r>
    </w:p>
  </w:footnote>
  <w:footnote w:type="continuationSeparator" w:id="0">
    <w:p w:rsidR="00D76938" w:rsidRDefault="00D76938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7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18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5"/>
  </w:num>
  <w:num w:numId="10">
    <w:abstractNumId w:val="4"/>
  </w:num>
  <w:num w:numId="11">
    <w:abstractNumId w:val="20"/>
  </w:num>
  <w:num w:numId="12">
    <w:abstractNumId w:val="15"/>
  </w:num>
  <w:num w:numId="13">
    <w:abstractNumId w:val="12"/>
  </w:num>
  <w:num w:numId="14">
    <w:abstractNumId w:val="6"/>
  </w:num>
  <w:num w:numId="15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1"/>
  </w:num>
  <w:num w:numId="20">
    <w:abstractNumId w:val="17"/>
  </w:num>
  <w:num w:numId="21">
    <w:abstractNumId w:val="9"/>
  </w:num>
  <w:num w:numId="22">
    <w:abstractNumId w:val="16"/>
  </w:num>
  <w:num w:numId="23">
    <w:abstractNumId w:val="10"/>
  </w:num>
  <w:num w:numId="24">
    <w:abstractNumId w:val="11"/>
  </w:num>
  <w:num w:numId="25">
    <w:abstractNumId w:val="13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5E9B"/>
    <w:rsid w:val="00030548"/>
    <w:rsid w:val="00060995"/>
    <w:rsid w:val="00064331"/>
    <w:rsid w:val="00084A1D"/>
    <w:rsid w:val="00151AA3"/>
    <w:rsid w:val="00171D3D"/>
    <w:rsid w:val="00200FEE"/>
    <w:rsid w:val="00210B9B"/>
    <w:rsid w:val="00242433"/>
    <w:rsid w:val="00291212"/>
    <w:rsid w:val="002F7618"/>
    <w:rsid w:val="003223B4"/>
    <w:rsid w:val="003736DC"/>
    <w:rsid w:val="0041187B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737DD"/>
    <w:rsid w:val="00675C8D"/>
    <w:rsid w:val="00691510"/>
    <w:rsid w:val="00721A89"/>
    <w:rsid w:val="007257B8"/>
    <w:rsid w:val="00732C93"/>
    <w:rsid w:val="00734E8D"/>
    <w:rsid w:val="00855E91"/>
    <w:rsid w:val="008C22C0"/>
    <w:rsid w:val="008C5312"/>
    <w:rsid w:val="00951673"/>
    <w:rsid w:val="009E4F61"/>
    <w:rsid w:val="009F5A12"/>
    <w:rsid w:val="00B021D5"/>
    <w:rsid w:val="00B32E8B"/>
    <w:rsid w:val="00B91794"/>
    <w:rsid w:val="00BC2828"/>
    <w:rsid w:val="00BE2E94"/>
    <w:rsid w:val="00C64527"/>
    <w:rsid w:val="00CB7AA7"/>
    <w:rsid w:val="00D76938"/>
    <w:rsid w:val="00DA7CAF"/>
    <w:rsid w:val="00E22463"/>
    <w:rsid w:val="00E80348"/>
    <w:rsid w:val="00E865C0"/>
    <w:rsid w:val="00F01500"/>
    <w:rsid w:val="00F13233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47E-45B5-4F7C-A2ED-C48FA7DD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7</cp:revision>
  <dcterms:created xsi:type="dcterms:W3CDTF">2019-08-05T12:12:00Z</dcterms:created>
  <dcterms:modified xsi:type="dcterms:W3CDTF">2019-09-06T08:50:00Z</dcterms:modified>
</cp:coreProperties>
</file>