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80" w:rsidRPr="00E80C80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Príloha č. 6</w:t>
      </w:r>
      <w:r w:rsidR="00E80C80"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E80C80" w:rsidRPr="00E80C80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E80C80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</w:p>
    <w:p w:rsidR="00E80C80" w:rsidRPr="00E80C80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predmet zákazky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 celom rozsahu je schopných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dodať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viacero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dodávateľov na trhu, ktorými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môžu byť aj malé a stredné podniky,</w:t>
      </w:r>
    </w:p>
    <w:p w:rsidR="00E80C80" w:rsidRPr="00953C2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ide o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 dodanie tovarov</w:t>
      </w: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, ktoré sú bežne dostupné na trhu,</w:t>
      </w:r>
    </w:p>
    <w:p w:rsidR="00D70393" w:rsidRPr="00D70393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727EAA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727EAA">
        <w:rPr>
          <w:rFonts w:ascii="Arial Narrow" w:hAnsi="Arial Narrow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>
        <w:rPr>
          <w:rFonts w:ascii="Arial Narrow" w:hAnsi="Arial Narrow"/>
          <w:sz w:val="22"/>
          <w:szCs w:val="22"/>
        </w:rPr>
        <w:t xml:space="preserve">nom dynamickom nákupnom systéme, </w:t>
      </w:r>
    </w:p>
    <w:p w:rsidR="00E80C80" w:rsidRPr="00E80C80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n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 princípom hospodárnosti, efektívnosti nediskriminácie a čestnej hospodárskej</w:t>
      </w:r>
      <w:r w:rsidR="00E80C80" w:rsidRPr="00E80C80">
        <w:rPr>
          <w:rFonts w:ascii="Microsoft Sans Serif" w:eastAsia="Microsoft Sans Serif" w:hAnsi="Microsoft Sans Serif" w:cs="Times New Roman"/>
          <w:sz w:val="18"/>
          <w:szCs w:val="22"/>
          <w:lang w:eastAsia="en-US" w:bidi="ar-SA"/>
        </w:rPr>
        <w:t xml:space="preserve">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súťaže.</w:t>
      </w:r>
    </w:p>
    <w:p w:rsidR="00E80C80" w:rsidRPr="00E80C80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cs-CZ" w:bidi="ar-SA"/>
        </w:rPr>
      </w:pPr>
    </w:p>
    <w:p w:rsidR="001831B0" w:rsidRPr="00E80C80" w:rsidRDefault="001831B0" w:rsidP="00953C27">
      <w:pPr>
        <w:jc w:val="both"/>
      </w:pPr>
    </w:p>
    <w:sectPr w:rsidR="001831B0" w:rsidRPr="00E80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2DF" w:rsidRDefault="002052DF">
      <w:r>
        <w:separator/>
      </w:r>
    </w:p>
  </w:endnote>
  <w:endnote w:type="continuationSeparator" w:id="0">
    <w:p w:rsidR="002052DF" w:rsidRDefault="0020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EE" w:rsidRDefault="006B6FE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Pr="003B32AC" w:rsidRDefault="00F65080" w:rsidP="00F65080">
    <w:pPr>
      <w:widowControl/>
      <w:tabs>
        <w:tab w:val="center" w:pos="8460"/>
        <w:tab w:val="right" w:pos="10080"/>
      </w:tabs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</w:pPr>
    <w:r w:rsidRPr="00F65080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      </w:t>
    </w:r>
    <w:r w:rsidRPr="00F65080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Súťažné </w:t>
    </w:r>
    <w:bookmarkStart w:id="0" w:name="_GoBack"/>
    <w:r w:rsidRPr="00F65080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podklady  „</w:t>
    </w:r>
    <w:r w:rsidR="006B6FEE" w:rsidRPr="006B6FEE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Základné potraviny, mrazené a mliečne </w:t>
    </w:r>
    <w:proofErr w:type="spellStart"/>
    <w:r w:rsidR="006B6FEE" w:rsidRPr="006B6FEE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výrobky_DNS</w:t>
    </w:r>
    <w:bookmarkEnd w:id="0"/>
    <w:proofErr w:type="spellEnd"/>
    <w:r w:rsidRPr="00F65080">
      <w:rPr>
        <w:rFonts w:ascii="Arial Narrow" w:eastAsia="Times New Roman" w:hAnsi="Arial Narrow" w:cs="Arial"/>
        <w:bCs/>
        <w:i/>
        <w:color w:val="808080"/>
        <w:sz w:val="18"/>
        <w:szCs w:val="18"/>
        <w:lang w:eastAsia="cs-CZ" w:bidi="ar-SA"/>
      </w:rPr>
      <w:t>“</w:t>
    </w:r>
    <w:r w:rsidRPr="00F65080">
      <w:rPr>
        <w:rFonts w:ascii="Arial Narrow" w:eastAsia="Times New Roman" w:hAnsi="Arial Narrow" w:cs="Arial"/>
        <w:i/>
        <w:color w:val="808080"/>
        <w:sz w:val="18"/>
        <w:szCs w:val="18"/>
        <w:lang w:eastAsia="cs-CZ" w:bidi="ar-SA"/>
      </w:rPr>
      <w:t xml:space="preserve"> </w:t>
    </w:r>
    <w:r w:rsidRPr="00F65080">
      <w:rPr>
        <w:rFonts w:ascii="Arial" w:eastAsia="Times New Roman" w:hAnsi="Arial" w:cs="Arial"/>
        <w:sz w:val="20"/>
        <w:szCs w:val="14"/>
        <w:lang w:eastAsia="cs-CZ" w:bidi="ar-SA"/>
      </w:rPr>
      <w:tab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PAGE 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6B6FEE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t>/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NUMPAGES  \* Arabic  \* MERGEFORMAT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6B6FEE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EE" w:rsidRDefault="006B6FE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2DF" w:rsidRDefault="002052DF"/>
  </w:footnote>
  <w:footnote w:type="continuationSeparator" w:id="0">
    <w:p w:rsidR="002052DF" w:rsidRDefault="002052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EE" w:rsidRDefault="006B6FE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00C99" wp14:editId="34802C5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5A21FA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EE" w:rsidRDefault="006B6FE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2052DF"/>
    <w:rsid w:val="00211B67"/>
    <w:rsid w:val="00213F07"/>
    <w:rsid w:val="00226939"/>
    <w:rsid w:val="00262631"/>
    <w:rsid w:val="003046F7"/>
    <w:rsid w:val="00312299"/>
    <w:rsid w:val="0038338F"/>
    <w:rsid w:val="003B32AC"/>
    <w:rsid w:val="004E7F20"/>
    <w:rsid w:val="00572A56"/>
    <w:rsid w:val="00626968"/>
    <w:rsid w:val="0069309B"/>
    <w:rsid w:val="006B6FEE"/>
    <w:rsid w:val="00727EAA"/>
    <w:rsid w:val="00825D69"/>
    <w:rsid w:val="00826B9C"/>
    <w:rsid w:val="0085499B"/>
    <w:rsid w:val="008A3AB1"/>
    <w:rsid w:val="00953C27"/>
    <w:rsid w:val="00B10DEC"/>
    <w:rsid w:val="00B306A1"/>
    <w:rsid w:val="00B66D32"/>
    <w:rsid w:val="00C522E3"/>
    <w:rsid w:val="00D70393"/>
    <w:rsid w:val="00D94162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C8E2-9CE8-4B93-A7B2-36436519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7</cp:revision>
  <dcterms:created xsi:type="dcterms:W3CDTF">2019-05-16T11:33:00Z</dcterms:created>
  <dcterms:modified xsi:type="dcterms:W3CDTF">2019-05-24T12:12:00Z</dcterms:modified>
</cp:coreProperties>
</file>