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ook w:val="01E0" w:firstRow="1" w:lastRow="1" w:firstColumn="1" w:lastColumn="1" w:noHBand="0" w:noVBand="0"/>
      </w:tblPr>
      <w:tblGrid>
        <w:gridCol w:w="9781"/>
      </w:tblGrid>
      <w:tr w:rsidR="00BE446F" w:rsidRPr="00BE446F" w:rsidTr="00043A2A">
        <w:tc>
          <w:tcPr>
            <w:tcW w:w="9781" w:type="dxa"/>
          </w:tcPr>
          <w:p w:rsidR="00BE446F" w:rsidRPr="00BE446F" w:rsidRDefault="00BE446F" w:rsidP="00BE446F">
            <w:pPr>
              <w:spacing w:after="0" w:line="240" w:lineRule="auto"/>
              <w:rPr>
                <w:rFonts w:ascii="Arial Narrow" w:eastAsia="Times New Roman" w:hAnsi="Arial Narrow" w:cs="Times New Roman"/>
                <w:b/>
                <w:lang w:eastAsia="sk-SK"/>
              </w:rPr>
            </w:pPr>
          </w:p>
        </w:tc>
      </w:tr>
      <w:tr w:rsidR="00BE446F" w:rsidRPr="00BE446F" w:rsidTr="00043A2A">
        <w:tc>
          <w:tcPr>
            <w:tcW w:w="9781" w:type="dxa"/>
            <w:shd w:val="clear" w:color="auto" w:fill="auto"/>
          </w:tcPr>
          <w:p w:rsidR="00BE446F" w:rsidRPr="00BE446F" w:rsidRDefault="00BE446F" w:rsidP="00BE446F">
            <w:pPr>
              <w:widowControl w:val="0"/>
              <w:tabs>
                <w:tab w:val="left" w:pos="2268"/>
              </w:tabs>
              <w:spacing w:before="120" w:after="60" w:line="240" w:lineRule="auto"/>
              <w:ind w:left="567"/>
              <w:jc w:val="right"/>
              <w:outlineLvl w:val="6"/>
              <w:rPr>
                <w:rFonts w:ascii="Arial Narrow" w:eastAsia="Times New Roman" w:hAnsi="Arial Narrow" w:cs="Times New Roman"/>
                <w:iCs/>
                <w:lang w:eastAsia="sk-SK"/>
              </w:rPr>
            </w:pPr>
            <w:r w:rsidRPr="00BE446F">
              <w:rPr>
                <w:rFonts w:ascii="Arial Narrow" w:eastAsia="Times New Roman" w:hAnsi="Arial Narrow" w:cs="Times New Roman"/>
                <w:iCs/>
                <w:lang w:eastAsia="sk-SK"/>
              </w:rPr>
              <w:t xml:space="preserve">Príloha č. </w:t>
            </w:r>
            <w:r>
              <w:rPr>
                <w:rFonts w:ascii="Arial Narrow" w:eastAsia="Times New Roman" w:hAnsi="Arial Narrow" w:cs="Times New Roman"/>
                <w:iCs/>
                <w:lang w:eastAsia="sk-SK"/>
              </w:rPr>
              <w:t>7</w:t>
            </w:r>
            <w:r w:rsidRPr="00BE446F">
              <w:rPr>
                <w:rFonts w:ascii="Arial Narrow" w:eastAsia="Times New Roman" w:hAnsi="Arial Narrow" w:cs="Times New Roman"/>
                <w:iCs/>
                <w:lang w:eastAsia="sk-SK"/>
              </w:rPr>
              <w:t xml:space="preserve"> súťažných podkladov </w:t>
            </w: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spacing w:after="0" w:line="240" w:lineRule="auto"/>
              <w:rPr>
                <w:rFonts w:ascii="Arial Narrow" w:eastAsia="Times New Roman" w:hAnsi="Arial Narrow" w:cs="Arial"/>
                <w:sz w:val="24"/>
                <w:szCs w:val="24"/>
                <w:lang w:eastAsia="sk-SK"/>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4"/>
            </w:tblGrid>
            <w:tr w:rsidR="00BE446F" w:rsidRPr="00BE446F" w:rsidTr="00043A2A">
              <w:trPr>
                <w:trHeight w:val="2700"/>
              </w:trPr>
              <w:tc>
                <w:tcPr>
                  <w:tcW w:w="9104" w:type="dxa"/>
                </w:tcPr>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tabs>
                      <w:tab w:val="left" w:pos="2268"/>
                    </w:tabs>
                    <w:spacing w:before="120" w:after="60" w:line="240" w:lineRule="auto"/>
                    <w:ind w:left="-38"/>
                    <w:jc w:val="center"/>
                    <w:outlineLvl w:val="6"/>
                    <w:rPr>
                      <w:rFonts w:ascii="Arial Narrow" w:eastAsia="Times New Roman" w:hAnsi="Arial Narrow" w:cs="Times New Roman"/>
                      <w:b/>
                      <w:bCs/>
                      <w:smallCaps/>
                      <w:sz w:val="28"/>
                      <w:szCs w:val="28"/>
                      <w:lang w:eastAsia="sk-SK"/>
                    </w:rPr>
                  </w:pPr>
                  <w:r w:rsidRPr="00BE446F">
                    <w:rPr>
                      <w:rFonts w:ascii="Arial Narrow" w:eastAsia="Arial" w:hAnsi="Arial Narrow" w:cs="Times New Roman"/>
                      <w:b/>
                      <w:bCs/>
                      <w:smallCaps/>
                    </w:rPr>
                    <w:t>Podmienky účasti</w:t>
                  </w:r>
                </w:p>
              </w:tc>
            </w:tr>
          </w:tbl>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color w:val="00B050"/>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DD79F2" w:rsidRPr="00DD79F2" w:rsidRDefault="00DD79F2" w:rsidP="00DD79F2">
            <w:pPr>
              <w:spacing w:before="120" w:after="0" w:line="240" w:lineRule="auto"/>
              <w:rPr>
                <w:rFonts w:ascii="Arial Narrow" w:eastAsia="Arial" w:hAnsi="Arial Narrow" w:cs="Times New Roman"/>
              </w:rPr>
            </w:pPr>
            <w:r w:rsidRPr="00DD79F2">
              <w:rPr>
                <w:rFonts w:ascii="Arial Narrow" w:eastAsia="Arial" w:hAnsi="Arial Narrow" w:cs="Times New Roman"/>
              </w:rPr>
              <w:lastRenderedPageBreak/>
              <w:t>Podmienky účasti vo verejnom obstarávaní :</w:t>
            </w:r>
          </w:p>
          <w:p w:rsidR="00DD79F2" w:rsidRPr="00DD79F2" w:rsidRDefault="00DD79F2" w:rsidP="00DD79F2">
            <w:pPr>
              <w:spacing w:before="120" w:after="0" w:line="240" w:lineRule="auto"/>
              <w:rPr>
                <w:rFonts w:ascii="Arial Narrow" w:eastAsia="Arial" w:hAnsi="Arial Narrow" w:cs="Times New Roman"/>
              </w:rPr>
            </w:pPr>
          </w:p>
          <w:p w:rsidR="00B87705" w:rsidRDefault="00DD79F2" w:rsidP="00DD79F2">
            <w:pPr>
              <w:spacing w:before="120" w:after="0" w:line="240" w:lineRule="auto"/>
              <w:rPr>
                <w:rFonts w:ascii="Arial Narrow" w:eastAsia="Arial" w:hAnsi="Arial Narrow" w:cs="Times New Roman"/>
                <w:b/>
              </w:rPr>
            </w:pPr>
            <w:r w:rsidRPr="00DD79F2">
              <w:rPr>
                <w:rFonts w:ascii="Arial Narrow" w:eastAsia="Arial" w:hAnsi="Arial Narrow" w:cs="Times New Roman"/>
                <w:b/>
              </w:rPr>
              <w:t xml:space="preserve">Osobné postavenie podľa § 32 ods. 1 e) a f) zákona č. 343/2015 Z. z. o verejnom obstarávaní a o zmene a doplnení  niektorých zákonov v znení neskorších predpisov </w:t>
            </w:r>
          </w:p>
          <w:p w:rsidR="00DD79F2" w:rsidRPr="00DD79F2" w:rsidRDefault="00DD79F2" w:rsidP="00DD79F2">
            <w:pPr>
              <w:spacing w:before="120" w:after="0" w:line="240" w:lineRule="auto"/>
              <w:rPr>
                <w:rFonts w:ascii="Arial Narrow" w:eastAsia="Arial" w:hAnsi="Arial Narrow" w:cs="Times New Roman"/>
              </w:rPr>
            </w:pPr>
            <w:r w:rsidRPr="00DD79F2">
              <w:rPr>
                <w:rFonts w:ascii="Arial Narrow" w:eastAsia="Arial" w:hAnsi="Arial Narrow" w:cs="Times New Roman"/>
              </w:rPr>
              <w:t>Zoznam a krátky opis podmienok: Vyžaduje sa splnenie podmienok účasti uvedených v § 32 ods. 1 písm. e), f) zákona č. 343/2015 Z. z. o verejnom obstarávaní a o zmene a doplnení niektorých zákonov v znení neskorších predpisov (ďalej len ZVO). Verejný obstarávateľ uvádza, že záujemca alebo uchádzač, nemusí predkladať doklad podľa § 32 ods. 2 písm. e) ZVO, ak ide o uchádzača, ktorého údaje sú dostupné v informačnom systéme verejnej správy podľa osobitného právneho predpisu. Tento doklad verejný obstarávateľ získa z informačného systému verejnej správy. /§ 1 ods. 3 zákona č. 177/2018 Z. z. o niektorých opatreniach na znižovanie administratívnej záťaže využívaním informačných systémov verejnej správy a o zmene a doplnení niektorých zákonov (zákon proti byrokracii)/. Uchádzač preukáže podmienku účasti podľa § 32 ods. 1 písm. f) spôsobom podľa § 32 ods. 2 písm. f) - t. j. čestným vyhlásením. Týmto nie je dotknutá možnosť uchádzača preukázať splnenie podmienok účasti osobného postavenia zápisom do zoznamu hospodárskych subjektov alebo zápisom do iného obdobného zoznamu iného čl. štátu EÚ v rozsahu podľa ZVO. Uchádzač môže v zmysle § 114 ods. 1 ZVO dočasne nahradiť doklady na preukázanie splnenia podmienok účasti vyplneným jednotným európskym dokumentom (JED) podľa § 39 ZVO alebo použiť čestné vyhlásenie, v ktorom vyhlási, že spĺňa všetky podmienky účasti určené verejným obstarávateľom a poskytne verejnému obstarávateľovi na požiadanie doklady, ktoré čestným vyhlásením nahradil. 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vložené do systému EO EKS.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DD79F2">
              <w:rPr>
                <w:rFonts w:ascii="Arial Narrow" w:eastAsia="Arial" w:hAnsi="Arial Narrow" w:cs="Times New Roman"/>
              </w:rPr>
              <w:t>Governmente</w:t>
            </w:r>
            <w:proofErr w:type="spellEnd"/>
            <w:r w:rsidRPr="00DD79F2">
              <w:rPr>
                <w:rFonts w:ascii="Arial Narrow" w:eastAsia="Arial" w:hAnsi="Arial Narrow" w:cs="Times New Roman"/>
              </w:rPr>
              <w:t>) v platnom znení.</w:t>
            </w:r>
          </w:p>
          <w:p w:rsidR="005D10E4" w:rsidRDefault="00DD79F2" w:rsidP="00BE446F">
            <w:pPr>
              <w:spacing w:after="120" w:line="240" w:lineRule="auto"/>
              <w:jc w:val="both"/>
              <w:rPr>
                <w:rFonts w:ascii="Arial Narrow" w:eastAsia="Arial" w:hAnsi="Arial Narrow" w:cs="Times New Roman"/>
              </w:rPr>
            </w:pPr>
            <w:r w:rsidRPr="00DD79F2">
              <w:rPr>
                <w:rFonts w:ascii="Arial Narrow" w:eastAsia="Arial"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5D10E4" w:rsidRDefault="005D10E4" w:rsidP="00BE446F">
            <w:pPr>
              <w:spacing w:after="120" w:line="240" w:lineRule="auto"/>
              <w:jc w:val="both"/>
              <w:rPr>
                <w:rFonts w:ascii="Arial Narrow" w:eastAsia="Arial" w:hAnsi="Arial Narrow" w:cs="Times New Roman"/>
              </w:rPr>
            </w:pPr>
          </w:p>
          <w:p w:rsidR="00A9018A" w:rsidRDefault="00A9018A" w:rsidP="00BE446F">
            <w:pPr>
              <w:numPr>
                <w:ilvl w:val="0"/>
                <w:numId w:val="2"/>
              </w:numPr>
              <w:spacing w:before="120" w:after="0" w:line="240" w:lineRule="auto"/>
              <w:ind w:left="277" w:hanging="277"/>
              <w:rPr>
                <w:rFonts w:ascii="Arial Narrow" w:eastAsia="Arial" w:hAnsi="Arial Narrow" w:cs="Times New Roman"/>
                <w:b/>
                <w:sz w:val="24"/>
                <w:szCs w:val="24"/>
                <w:u w:val="single"/>
                <w:lang w:eastAsia="sk-SK"/>
              </w:rPr>
            </w:pPr>
            <w:r>
              <w:rPr>
                <w:rFonts w:ascii="Arial Narrow" w:eastAsia="Arial" w:hAnsi="Arial Narrow" w:cs="Times New Roman"/>
                <w:b/>
                <w:sz w:val="24"/>
                <w:szCs w:val="24"/>
                <w:u w:val="single"/>
                <w:lang w:eastAsia="sk-SK"/>
              </w:rPr>
              <w:t>Finančné a ekonomické postavenie - §33 ods. 1 písm. d) zákona</w:t>
            </w:r>
          </w:p>
          <w:p w:rsidR="00A9018A" w:rsidRDefault="00A9018A" w:rsidP="00A9018A">
            <w:pPr>
              <w:spacing w:before="120" w:after="0" w:line="240" w:lineRule="auto"/>
              <w:ind w:left="277"/>
              <w:rPr>
                <w:rFonts w:ascii="Arial Narrow" w:eastAsia="Arial" w:hAnsi="Arial Narrow" w:cs="Times New Roman"/>
                <w:sz w:val="24"/>
                <w:szCs w:val="24"/>
                <w:lang w:eastAsia="sk-SK"/>
              </w:rPr>
            </w:pPr>
            <w:r>
              <w:rPr>
                <w:rFonts w:ascii="Arial Narrow" w:eastAsia="Arial" w:hAnsi="Arial Narrow" w:cs="Times New Roman"/>
                <w:sz w:val="24"/>
                <w:szCs w:val="24"/>
                <w:lang w:eastAsia="sk-SK"/>
              </w:rPr>
              <w:t>Minimálne požiadavky</w:t>
            </w:r>
          </w:p>
          <w:p w:rsidR="00A9018A" w:rsidRDefault="00A9018A" w:rsidP="00A9018A">
            <w:pPr>
              <w:numPr>
                <w:ilvl w:val="0"/>
                <w:numId w:val="6"/>
              </w:numPr>
              <w:spacing w:before="120" w:after="0" w:line="240" w:lineRule="auto"/>
              <w:rPr>
                <w:rFonts w:ascii="Arial Narrow" w:eastAsia="Arial" w:hAnsi="Arial Narrow" w:cs="Times New Roman"/>
                <w:b/>
                <w:bCs/>
              </w:rPr>
            </w:pPr>
            <w:r w:rsidRPr="00BE446F">
              <w:rPr>
                <w:rFonts w:ascii="Arial Narrow" w:eastAsia="Arial" w:hAnsi="Arial Narrow" w:cs="Times New Roman"/>
                <w:b/>
                <w:bCs/>
              </w:rPr>
              <w:t>§ 3</w:t>
            </w:r>
            <w:r>
              <w:rPr>
                <w:rFonts w:ascii="Arial Narrow" w:eastAsia="Arial" w:hAnsi="Arial Narrow" w:cs="Times New Roman"/>
                <w:b/>
                <w:bCs/>
              </w:rPr>
              <w:t>3</w:t>
            </w:r>
            <w:r w:rsidRPr="00BE446F">
              <w:rPr>
                <w:rFonts w:ascii="Arial Narrow" w:eastAsia="Arial" w:hAnsi="Arial Narrow" w:cs="Times New Roman"/>
                <w:b/>
                <w:bCs/>
              </w:rPr>
              <w:t xml:space="preserve"> ods. 1 písm. </w:t>
            </w:r>
            <w:r>
              <w:rPr>
                <w:rFonts w:ascii="Arial Narrow" w:eastAsia="Arial" w:hAnsi="Arial Narrow" w:cs="Times New Roman"/>
                <w:b/>
                <w:bCs/>
              </w:rPr>
              <w:t>d</w:t>
            </w:r>
            <w:r w:rsidRPr="00BE446F">
              <w:rPr>
                <w:rFonts w:ascii="Arial Narrow" w:eastAsia="Arial" w:hAnsi="Arial Narrow" w:cs="Times New Roman"/>
                <w:b/>
                <w:bCs/>
              </w:rPr>
              <w:t>) zákona</w:t>
            </w:r>
          </w:p>
          <w:p w:rsidR="00A9018A" w:rsidRPr="00A9018A" w:rsidRDefault="00A9018A" w:rsidP="001466F1">
            <w:pPr>
              <w:spacing w:before="120" w:after="0" w:line="240" w:lineRule="auto"/>
              <w:ind w:left="241"/>
              <w:rPr>
                <w:rFonts w:ascii="Arial Narrow" w:eastAsia="Arial" w:hAnsi="Arial Narrow" w:cs="Times New Roman"/>
                <w:bCs/>
              </w:rPr>
            </w:pPr>
            <w:r>
              <w:rPr>
                <w:rFonts w:ascii="Arial Narrow" w:eastAsia="Arial" w:hAnsi="Arial Narrow" w:cs="Times New Roman"/>
                <w:bCs/>
              </w:rPr>
              <w:t>Verejný obstarávateľ požaduje predložiť prehľad o dosiahnutom obrate</w:t>
            </w:r>
            <w:r w:rsidR="001466F1">
              <w:rPr>
                <w:rFonts w:ascii="Arial Narrow" w:eastAsia="Arial" w:hAnsi="Arial Narrow" w:cs="Times New Roman"/>
                <w:bCs/>
              </w:rPr>
              <w:t xml:space="preserve"> </w:t>
            </w:r>
            <w:r w:rsidR="001466F1" w:rsidRPr="001466F1">
              <w:rPr>
                <w:rFonts w:ascii="Arial Narrow" w:eastAsia="Arial" w:hAnsi="Arial Narrow" w:cs="Times New Roman"/>
                <w:bCs/>
              </w:rPr>
              <w:t>najviac za posledné tri hospodárske roky, za ktoré sú</w:t>
            </w:r>
            <w:r w:rsidR="001466F1">
              <w:rPr>
                <w:rFonts w:ascii="Arial Narrow" w:eastAsia="Arial" w:hAnsi="Arial Narrow" w:cs="Times New Roman"/>
                <w:bCs/>
              </w:rPr>
              <w:t xml:space="preserve"> </w:t>
            </w:r>
            <w:r w:rsidR="001466F1" w:rsidRPr="001466F1">
              <w:rPr>
                <w:rFonts w:ascii="Arial Narrow" w:eastAsia="Arial" w:hAnsi="Arial Narrow" w:cs="Times New Roman"/>
                <w:bCs/>
              </w:rPr>
              <w:t>dostupné v závislosti od vzniku alebo začatia prevádzkovania činnost</w:t>
            </w:r>
            <w:r w:rsidR="001466F1">
              <w:rPr>
                <w:rFonts w:ascii="Arial Narrow" w:eastAsia="Arial" w:hAnsi="Arial Narrow" w:cs="Times New Roman"/>
                <w:bCs/>
              </w:rPr>
              <w:t>i.</w:t>
            </w:r>
          </w:p>
          <w:p w:rsidR="00A9018A" w:rsidRPr="001466F1" w:rsidRDefault="00A9018A" w:rsidP="001466F1">
            <w:pPr>
              <w:spacing w:before="120" w:after="0" w:line="240" w:lineRule="auto"/>
              <w:ind w:left="277"/>
              <w:jc w:val="both"/>
              <w:rPr>
                <w:rFonts w:ascii="Arial Narrow" w:eastAsia="Arial" w:hAnsi="Arial Narrow" w:cs="Times New Roman"/>
                <w:szCs w:val="24"/>
                <w:lang w:eastAsia="sk-SK"/>
              </w:rPr>
            </w:pPr>
            <w:r w:rsidRPr="001466F1">
              <w:rPr>
                <w:rFonts w:ascii="Arial Narrow" w:eastAsia="Arial" w:hAnsi="Arial Narrow" w:cs="Times New Roman"/>
                <w:szCs w:val="24"/>
                <w:lang w:eastAsia="sk-SK"/>
              </w:rPr>
              <w:t>Uchádzač predloží na preukázanie obratu Výkazy ziskov a strát (účtovná jednotka účtujúca v systéme podvojného účtovníctva) alebo Výkazy o príjmoch a výdavkoch (účtovná jednotka účtujúca v systéme jednoduchého účtovníctva), resp. ekvivalentné doklady podľa právnych predpisov platných v krajine sídla uchádzača (ak má uchádzač sídlo mimo územia SR), najviac za posledné tri hospodárske roky, za ktoré sú dostupné v závislosti od vzniku alebo začiatku prevádzkovania podnikateľskej činnosti. Uchádzač musí týmto spôsobom preukázať súhrnný celkový obrat za posledné tri hospodárske roky v</w:t>
            </w:r>
            <w:r w:rsidR="001466F1" w:rsidRPr="001466F1">
              <w:rPr>
                <w:rFonts w:ascii="Arial Narrow" w:eastAsia="Arial" w:hAnsi="Arial Narrow" w:cs="Times New Roman"/>
                <w:szCs w:val="24"/>
                <w:lang w:eastAsia="sk-SK"/>
              </w:rPr>
              <w:t> </w:t>
            </w:r>
            <w:r w:rsidRPr="001466F1">
              <w:rPr>
                <w:rFonts w:ascii="Arial Narrow" w:eastAsia="Arial" w:hAnsi="Arial Narrow" w:cs="Times New Roman"/>
                <w:szCs w:val="24"/>
                <w:lang w:eastAsia="sk-SK"/>
              </w:rPr>
              <w:t>minimálnej</w:t>
            </w:r>
            <w:r w:rsidR="001466F1" w:rsidRPr="001466F1">
              <w:rPr>
                <w:rFonts w:ascii="Arial Narrow" w:eastAsia="Arial" w:hAnsi="Arial Narrow" w:cs="Times New Roman"/>
                <w:szCs w:val="24"/>
                <w:lang w:eastAsia="sk-SK"/>
              </w:rPr>
              <w:t xml:space="preserve"> </w:t>
            </w:r>
            <w:r w:rsidRPr="001466F1">
              <w:rPr>
                <w:rFonts w:ascii="Arial Narrow" w:eastAsia="Arial" w:hAnsi="Arial Narrow" w:cs="Times New Roman"/>
                <w:szCs w:val="24"/>
                <w:lang w:eastAsia="sk-SK"/>
              </w:rPr>
              <w:t xml:space="preserve">(kumulatívnej) výške </w:t>
            </w:r>
            <w:r w:rsidR="001466F1" w:rsidRPr="001466F1">
              <w:rPr>
                <w:rFonts w:ascii="Arial Narrow" w:eastAsia="Arial" w:hAnsi="Arial Narrow" w:cs="Times New Roman"/>
                <w:szCs w:val="24"/>
                <w:lang w:eastAsia="sk-SK"/>
              </w:rPr>
              <w:t>90</w:t>
            </w:r>
            <w:r w:rsidRPr="001466F1">
              <w:rPr>
                <w:rFonts w:ascii="Arial Narrow" w:eastAsia="Arial" w:hAnsi="Arial Narrow" w:cs="Times New Roman"/>
                <w:szCs w:val="24"/>
                <w:lang w:eastAsia="sk-SK"/>
              </w:rPr>
              <w:t>.000,- EUR</w:t>
            </w:r>
            <w:r w:rsidR="001466F1">
              <w:rPr>
                <w:rFonts w:ascii="Arial Narrow" w:eastAsia="Arial" w:hAnsi="Arial Narrow" w:cs="Times New Roman"/>
                <w:szCs w:val="24"/>
                <w:lang w:eastAsia="sk-SK"/>
              </w:rPr>
              <w:t>.</w:t>
            </w:r>
          </w:p>
          <w:p w:rsidR="00A9018A" w:rsidRDefault="001466F1" w:rsidP="001466F1">
            <w:pPr>
              <w:spacing w:before="120" w:after="0" w:line="240" w:lineRule="auto"/>
              <w:ind w:left="277"/>
              <w:jc w:val="both"/>
              <w:rPr>
                <w:rFonts w:ascii="Arial Narrow" w:eastAsia="Arial" w:hAnsi="Arial Narrow" w:cs="Times New Roman"/>
                <w:b/>
                <w:sz w:val="24"/>
                <w:szCs w:val="24"/>
                <w:u w:val="single"/>
                <w:lang w:eastAsia="sk-SK"/>
              </w:rPr>
            </w:pPr>
            <w:r w:rsidRPr="003F0645">
              <w:rPr>
                <w:rFonts w:ascii="Arial Narrow" w:hAnsi="Arial Narrow" w:cs="Arial"/>
              </w:rPr>
              <w:t xml:space="preserve">Za vyhlásenie verejného obstarávania sa považuje zverejnenie </w:t>
            </w:r>
            <w:r>
              <w:rPr>
                <w:rFonts w:ascii="Arial Narrow" w:hAnsi="Arial Narrow" w:cs="Arial"/>
              </w:rPr>
              <w:t>výzvy na predkladanie ponúk uverejnenej vo Vestníku verejného obstarávania.</w:t>
            </w:r>
          </w:p>
          <w:p w:rsidR="00A9018A" w:rsidRDefault="001F6241" w:rsidP="001F6241">
            <w:pPr>
              <w:spacing w:before="120" w:after="0" w:line="240" w:lineRule="auto"/>
              <w:ind w:left="277"/>
              <w:jc w:val="both"/>
              <w:rPr>
                <w:rFonts w:ascii="Arial Narrow" w:eastAsia="Arial" w:hAnsi="Arial Narrow" w:cs="Times New Roman"/>
                <w:b/>
                <w:sz w:val="24"/>
                <w:szCs w:val="24"/>
                <w:u w:val="single"/>
                <w:lang w:eastAsia="sk-SK"/>
              </w:rPr>
            </w:pPr>
            <w:r w:rsidRPr="001F6241">
              <w:rPr>
                <w:rFonts w:ascii="Arial Narrow" w:eastAsia="Arial" w:hAnsi="Arial Narrow" w:cs="Times New Roman"/>
                <w:szCs w:val="24"/>
                <w:lang w:eastAsia="sk-SK"/>
              </w:rPr>
              <w:t xml:space="preserve">Uchádzač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w:t>
            </w:r>
            <w:r w:rsidRPr="001F6241">
              <w:rPr>
                <w:rFonts w:ascii="Arial Narrow" w:eastAsia="Arial" w:hAnsi="Arial Narrow" w:cs="Times New Roman"/>
                <w:szCs w:val="24"/>
                <w:lang w:eastAsia="sk-SK"/>
              </w:rPr>
              <w:lastRenderedPageBreak/>
              <w:t>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ZVO</w:t>
            </w:r>
            <w:r>
              <w:t>.</w:t>
            </w:r>
          </w:p>
          <w:p w:rsidR="00BE446F" w:rsidRPr="00BE446F" w:rsidRDefault="00BE446F" w:rsidP="00BE446F">
            <w:pPr>
              <w:numPr>
                <w:ilvl w:val="0"/>
                <w:numId w:val="2"/>
              </w:numPr>
              <w:spacing w:before="120" w:after="0" w:line="240" w:lineRule="auto"/>
              <w:ind w:left="277" w:hanging="277"/>
              <w:rPr>
                <w:rFonts w:ascii="Arial Narrow" w:eastAsia="Arial" w:hAnsi="Arial Narrow" w:cs="Times New Roman"/>
                <w:b/>
                <w:sz w:val="24"/>
                <w:szCs w:val="24"/>
                <w:u w:val="single"/>
                <w:lang w:eastAsia="sk-SK"/>
              </w:rPr>
            </w:pPr>
            <w:r w:rsidRPr="00BE446F">
              <w:rPr>
                <w:rFonts w:ascii="Arial Narrow" w:eastAsia="Arial" w:hAnsi="Arial Narrow" w:cs="Times New Roman"/>
                <w:b/>
                <w:sz w:val="24"/>
                <w:szCs w:val="24"/>
                <w:u w:val="single"/>
                <w:lang w:eastAsia="sk-SK"/>
              </w:rPr>
              <w:t xml:space="preserve">technická alebo odborná spôsobilosť - § 34 ods. 1 písm. </w:t>
            </w:r>
            <w:r w:rsidR="00A9018A">
              <w:rPr>
                <w:rFonts w:ascii="Arial Narrow" w:eastAsia="Arial" w:hAnsi="Arial Narrow" w:cs="Times New Roman"/>
                <w:b/>
                <w:sz w:val="24"/>
                <w:szCs w:val="24"/>
                <w:u w:val="single"/>
                <w:lang w:eastAsia="sk-SK"/>
              </w:rPr>
              <w:t>a</w:t>
            </w:r>
            <w:r w:rsidRPr="00BE446F">
              <w:rPr>
                <w:rFonts w:ascii="Arial Narrow" w:eastAsia="Arial" w:hAnsi="Arial Narrow" w:cs="Times New Roman"/>
                <w:b/>
                <w:sz w:val="24"/>
                <w:szCs w:val="24"/>
                <w:u w:val="single"/>
                <w:lang w:eastAsia="sk-SK"/>
              </w:rPr>
              <w:t>) zákona a § 34 ods. 1 písm. g) zákona</w:t>
            </w:r>
          </w:p>
          <w:p w:rsidR="00BE446F" w:rsidRPr="00BE446F" w:rsidRDefault="00BE446F" w:rsidP="00BE446F">
            <w:pPr>
              <w:spacing w:before="120" w:after="0" w:line="240" w:lineRule="auto"/>
              <w:ind w:firstLine="241"/>
              <w:rPr>
                <w:rFonts w:ascii="Arial Narrow" w:eastAsia="Arial" w:hAnsi="Arial Narrow" w:cs="Times New Roman"/>
              </w:rPr>
            </w:pPr>
            <w:r w:rsidRPr="00BE446F">
              <w:rPr>
                <w:rFonts w:ascii="Arial Narrow" w:eastAsia="Arial" w:hAnsi="Arial Narrow" w:cs="Times New Roman"/>
              </w:rPr>
              <w:t>Minimálne požiadavky</w:t>
            </w:r>
          </w:p>
          <w:p w:rsidR="00BE446F" w:rsidRPr="00BE446F" w:rsidRDefault="00BE446F" w:rsidP="00BE446F">
            <w:pPr>
              <w:numPr>
                <w:ilvl w:val="0"/>
                <w:numId w:val="6"/>
              </w:numPr>
              <w:spacing w:before="120" w:after="0" w:line="240" w:lineRule="auto"/>
              <w:rPr>
                <w:rFonts w:ascii="Arial Narrow" w:eastAsia="Arial" w:hAnsi="Arial Narrow" w:cs="Times New Roman"/>
                <w:b/>
                <w:bCs/>
              </w:rPr>
            </w:pPr>
            <w:r w:rsidRPr="00BE446F">
              <w:rPr>
                <w:rFonts w:ascii="Arial Narrow" w:eastAsia="Arial" w:hAnsi="Arial Narrow" w:cs="Times New Roman"/>
                <w:b/>
                <w:bCs/>
              </w:rPr>
              <w:t xml:space="preserve">§ 34 ods. 1 písm. </w:t>
            </w:r>
            <w:r w:rsidR="00A9018A">
              <w:rPr>
                <w:rFonts w:ascii="Arial Narrow" w:eastAsia="Arial" w:hAnsi="Arial Narrow" w:cs="Times New Roman"/>
                <w:b/>
                <w:bCs/>
              </w:rPr>
              <w:t>a</w:t>
            </w:r>
            <w:r w:rsidRPr="00BE446F">
              <w:rPr>
                <w:rFonts w:ascii="Arial Narrow" w:eastAsia="Arial" w:hAnsi="Arial Narrow" w:cs="Times New Roman"/>
                <w:b/>
                <w:bCs/>
              </w:rPr>
              <w:t>) zákona</w:t>
            </w:r>
          </w:p>
          <w:p w:rsidR="00A9018A" w:rsidRDefault="00A9018A" w:rsidP="00A9018A">
            <w:pPr>
              <w:spacing w:after="0" w:line="240" w:lineRule="auto"/>
              <w:ind w:left="230"/>
              <w:jc w:val="both"/>
              <w:rPr>
                <w:rFonts w:ascii="Arial Narrow" w:hAnsi="Arial Narrow" w:cs="Arial"/>
              </w:rPr>
            </w:pPr>
            <w:r>
              <w:rPr>
                <w:rFonts w:ascii="Arial Narrow" w:hAnsi="Arial Narrow" w:cs="Arial"/>
              </w:rPr>
              <w:t>V</w:t>
            </w:r>
            <w:r w:rsidRPr="002604C8">
              <w:rPr>
                <w:rFonts w:ascii="Arial Narrow" w:hAnsi="Arial Narrow" w:cs="Arial"/>
              </w:rPr>
              <w:t>erejný obstarávateľ požaduje predložiť zoznam dodávok tovaru za predchádzajúc</w:t>
            </w:r>
            <w:r>
              <w:rPr>
                <w:rFonts w:ascii="Arial Narrow" w:hAnsi="Arial Narrow" w:cs="Arial"/>
              </w:rPr>
              <w:t>e</w:t>
            </w:r>
            <w:r w:rsidRPr="002604C8">
              <w:rPr>
                <w:rFonts w:ascii="Arial Narrow" w:hAnsi="Arial Narrow" w:cs="Arial"/>
              </w:rPr>
              <w:t xml:space="preserve"> 3 roky od vyhlásenia verejného obstarávania s uvedením cien, lehôt dodania a odberateľov; dokladom je referencia, ak odberateľom bol verejný obstarávateľ alebo obstarávateľ podľa zákona. </w:t>
            </w:r>
          </w:p>
          <w:p w:rsidR="00A9018A" w:rsidRDefault="00A9018A" w:rsidP="00A9018A">
            <w:pPr>
              <w:spacing w:after="0" w:line="240" w:lineRule="auto"/>
              <w:ind w:left="230"/>
              <w:jc w:val="both"/>
              <w:rPr>
                <w:rFonts w:ascii="Arial Narrow" w:hAnsi="Arial Narrow" w:cs="Arial"/>
              </w:rPr>
            </w:pPr>
          </w:p>
          <w:p w:rsidR="00A9018A" w:rsidRDefault="00A9018A" w:rsidP="00A9018A">
            <w:pPr>
              <w:spacing w:after="0" w:line="240" w:lineRule="auto"/>
              <w:ind w:left="230"/>
              <w:jc w:val="both"/>
              <w:rPr>
                <w:rFonts w:ascii="Arial Narrow" w:hAnsi="Arial Narrow" w:cs="Arial"/>
              </w:rPr>
            </w:pPr>
            <w:r w:rsidRPr="00806DCD">
              <w:rPr>
                <w:rFonts w:ascii="Arial Narrow" w:hAnsi="Arial Narrow" w:cstheme="minorHAnsi"/>
                <w:lang w:eastAsia="cs-CZ"/>
              </w:rPr>
              <w:t xml:space="preserve">Zoznamom </w:t>
            </w:r>
            <w:r>
              <w:rPr>
                <w:rFonts w:ascii="Arial Narrow" w:hAnsi="Arial Narrow" w:cstheme="minorHAnsi"/>
                <w:lang w:eastAsia="cs-CZ"/>
              </w:rPr>
              <w:t xml:space="preserve">dodávok </w:t>
            </w:r>
            <w:r w:rsidRPr="00942B81">
              <w:rPr>
                <w:rFonts w:ascii="Arial Narrow" w:hAnsi="Arial Narrow" w:cstheme="minorHAnsi"/>
                <w:lang w:eastAsia="cs-CZ"/>
              </w:rPr>
              <w:t>tovaru musí uchádzač preukázať, že za rozhodné obdobie dodal tovary rovnakého ch</w:t>
            </w:r>
            <w:r>
              <w:rPr>
                <w:rFonts w:ascii="Arial Narrow" w:hAnsi="Arial Narrow" w:cstheme="minorHAnsi"/>
                <w:lang w:eastAsia="cs-CZ"/>
              </w:rPr>
              <w:t xml:space="preserve">arakteru, ako je predmet zákazky, </w:t>
            </w:r>
            <w:r w:rsidRPr="00942B81">
              <w:rPr>
                <w:rFonts w:ascii="Arial Narrow" w:hAnsi="Arial Narrow" w:cstheme="minorHAnsi"/>
                <w:lang w:eastAsia="cs-CZ"/>
              </w:rPr>
              <w:t>ktorým</w:t>
            </w:r>
            <w:r w:rsidRPr="00106F4A">
              <w:rPr>
                <w:rFonts w:ascii="Arial Narrow" w:hAnsi="Arial Narrow" w:cstheme="minorHAnsi"/>
                <w:lang w:eastAsia="cs-CZ"/>
              </w:rPr>
              <w:t xml:space="preserve"> preukáže, že za rozhodné obdobie</w:t>
            </w:r>
            <w:r>
              <w:rPr>
                <w:rFonts w:ascii="Arial Narrow" w:hAnsi="Arial Narrow" w:cstheme="minorHAnsi"/>
                <w:lang w:eastAsia="cs-CZ"/>
              </w:rPr>
              <w:t xml:space="preserve"> realizoval dodávky</w:t>
            </w:r>
            <w:r w:rsidRPr="00106F4A">
              <w:rPr>
                <w:rFonts w:ascii="Arial Narrow" w:hAnsi="Arial Narrow" w:cstheme="minorHAnsi"/>
                <w:lang w:eastAsia="cs-CZ"/>
              </w:rPr>
              <w:t xml:space="preserve"> v celkovej hodnote spolu</w:t>
            </w:r>
            <w:r>
              <w:rPr>
                <w:rFonts w:ascii="Arial Narrow" w:hAnsi="Arial Narrow" w:cstheme="minorHAnsi"/>
                <w:lang w:eastAsia="cs-CZ"/>
              </w:rPr>
              <w:t xml:space="preserve">: </w:t>
            </w:r>
            <w:r w:rsidRPr="00106F4A">
              <w:rPr>
                <w:rFonts w:ascii="Arial Narrow" w:hAnsi="Arial Narrow" w:cstheme="minorHAnsi"/>
                <w:lang w:eastAsia="cs-CZ"/>
              </w:rPr>
              <w:t xml:space="preserve">minimálne </w:t>
            </w:r>
            <w:r w:rsidR="001F6241">
              <w:rPr>
                <w:rFonts w:ascii="Arial Narrow" w:hAnsi="Arial Narrow" w:cstheme="minorHAnsi"/>
                <w:lang w:eastAsia="cs-CZ"/>
              </w:rPr>
              <w:t>10</w:t>
            </w:r>
            <w:r>
              <w:rPr>
                <w:rFonts w:ascii="Arial Narrow" w:hAnsi="Arial Narrow" w:cstheme="minorHAnsi"/>
                <w:lang w:eastAsia="cs-CZ"/>
              </w:rPr>
              <w:t>0 000,00</w:t>
            </w:r>
            <w:r w:rsidRPr="00106F4A">
              <w:rPr>
                <w:rFonts w:ascii="Arial Narrow" w:hAnsi="Arial Narrow" w:cstheme="minorHAnsi"/>
                <w:lang w:eastAsia="cs-CZ"/>
              </w:rPr>
              <w:t xml:space="preserve"> € bez DPH</w:t>
            </w:r>
          </w:p>
          <w:p w:rsidR="00A9018A" w:rsidRDefault="00A9018A" w:rsidP="00A9018A">
            <w:pPr>
              <w:spacing w:after="0" w:line="240" w:lineRule="auto"/>
              <w:ind w:left="230"/>
              <w:jc w:val="both"/>
              <w:rPr>
                <w:rFonts w:ascii="Arial Narrow" w:hAnsi="Arial Narrow" w:cs="Arial"/>
              </w:rPr>
            </w:pPr>
          </w:p>
          <w:p w:rsidR="00601E4E" w:rsidRPr="00601E4E" w:rsidRDefault="00601E4E" w:rsidP="00601E4E">
            <w:pPr>
              <w:spacing w:after="0" w:line="240" w:lineRule="auto"/>
              <w:ind w:left="230"/>
              <w:jc w:val="both"/>
              <w:rPr>
                <w:rFonts w:ascii="Arial Narrow" w:hAnsi="Arial Narrow" w:cs="Arial"/>
              </w:rPr>
            </w:pPr>
            <w:r w:rsidRPr="00601E4E">
              <w:rPr>
                <w:rFonts w:ascii="Arial Narrow" w:hAnsi="Arial Narrow" w:cs="Arial"/>
              </w:rPr>
              <w:t>Za službu rovnakého alebo obdobného charakteru ako je predmet zákazky, sa bude považovať dodávka a implementácia prístupového systému a obslužného softvéru pre správu parkovania, pričom tento systém má (kumulatívne) spĺňať všetky nasledovné požiadavky:</w:t>
            </w:r>
          </w:p>
          <w:p w:rsidR="00601E4E" w:rsidRPr="00601E4E" w:rsidRDefault="00601E4E" w:rsidP="00601E4E">
            <w:pPr>
              <w:spacing w:after="0" w:line="240" w:lineRule="auto"/>
              <w:ind w:left="230"/>
              <w:jc w:val="both"/>
              <w:rPr>
                <w:rFonts w:ascii="Arial Narrow" w:hAnsi="Arial Narrow" w:cs="Arial"/>
              </w:rPr>
            </w:pPr>
            <w:r w:rsidRPr="00601E4E">
              <w:rPr>
                <w:rFonts w:ascii="Arial Narrow" w:hAnsi="Arial Narrow" w:cs="Arial"/>
              </w:rPr>
              <w:t>a) bol aktívny aspoň jeden rok,</w:t>
            </w:r>
          </w:p>
          <w:p w:rsidR="00601E4E" w:rsidRDefault="00601E4E" w:rsidP="00601E4E">
            <w:pPr>
              <w:spacing w:line="240" w:lineRule="auto"/>
              <w:ind w:left="230"/>
              <w:jc w:val="both"/>
              <w:rPr>
                <w:rFonts w:ascii="Arial Narrow" w:hAnsi="Arial Narrow" w:cs="Arial"/>
              </w:rPr>
            </w:pPr>
            <w:r w:rsidRPr="00601E4E">
              <w:rPr>
                <w:rFonts w:ascii="Arial Narrow" w:hAnsi="Arial Narrow" w:cs="Arial"/>
              </w:rPr>
              <w:t>b) bol uchádzačom integrovaný so systémom rozpoznávania ŠPZ</w:t>
            </w:r>
            <w:r>
              <w:rPr>
                <w:rFonts w:ascii="Arial Narrow" w:hAnsi="Arial Narrow" w:cs="Arial"/>
              </w:rPr>
              <w:t>.</w:t>
            </w:r>
          </w:p>
          <w:p w:rsidR="00A9018A" w:rsidRDefault="00A9018A" w:rsidP="00A9018A">
            <w:pPr>
              <w:spacing w:after="0" w:line="240" w:lineRule="auto"/>
              <w:ind w:left="230"/>
              <w:jc w:val="both"/>
              <w:rPr>
                <w:rFonts w:ascii="Arial Narrow" w:hAnsi="Arial Narrow" w:cs="Arial"/>
              </w:rPr>
            </w:pPr>
            <w:r w:rsidRPr="003F0645">
              <w:rPr>
                <w:rFonts w:ascii="Arial Narrow" w:hAnsi="Arial Narrow" w:cs="Arial"/>
              </w:rPr>
              <w:t xml:space="preserve">Za vyhlásenie verejného obstarávania sa považuje zverejnenie </w:t>
            </w:r>
            <w:r>
              <w:rPr>
                <w:rFonts w:ascii="Arial Narrow" w:hAnsi="Arial Narrow" w:cs="Arial"/>
              </w:rPr>
              <w:t>výzvy na predkladanie ponúk uverejnenej vo Vestníku verejného obstarávania.</w:t>
            </w:r>
          </w:p>
          <w:p w:rsidR="00A9018A" w:rsidRPr="002604C8" w:rsidRDefault="00A9018A" w:rsidP="00A9018A">
            <w:pPr>
              <w:spacing w:after="0" w:line="240" w:lineRule="auto"/>
              <w:ind w:left="230"/>
              <w:jc w:val="both"/>
              <w:rPr>
                <w:rFonts w:ascii="Arial Narrow" w:hAnsi="Arial Narrow" w:cs="Arial"/>
              </w:rPr>
            </w:pPr>
            <w:r w:rsidRPr="002604C8">
              <w:rPr>
                <w:rFonts w:ascii="Arial Narrow" w:hAnsi="Arial Narrow" w:cs="Arial"/>
              </w:rPr>
              <w:t xml:space="preserve"> </w:t>
            </w:r>
          </w:p>
          <w:p w:rsidR="00A9018A" w:rsidRPr="00806DCD" w:rsidRDefault="00A9018A" w:rsidP="00A9018A">
            <w:pPr>
              <w:tabs>
                <w:tab w:val="left" w:pos="2160"/>
                <w:tab w:val="left" w:pos="2880"/>
                <w:tab w:val="left" w:pos="4500"/>
              </w:tabs>
              <w:ind w:left="230"/>
              <w:jc w:val="both"/>
              <w:rPr>
                <w:rFonts w:ascii="Arial Narrow" w:eastAsia="Calibri" w:hAnsi="Arial Narrow" w:cs="Tahoma"/>
              </w:rPr>
            </w:pPr>
            <w:r>
              <w:rPr>
                <w:rFonts w:ascii="Arial Narrow" w:hAnsi="Arial Narrow" w:cstheme="minorHAnsi"/>
                <w:lang w:eastAsia="cs-CZ"/>
              </w:rPr>
              <w:t>Z</w:t>
            </w:r>
            <w:r w:rsidRPr="00806DCD">
              <w:rPr>
                <w:rFonts w:ascii="Arial Narrow" w:eastAsia="Calibri" w:hAnsi="Arial Narrow" w:cs="Tahoma"/>
              </w:rPr>
              <w:t xml:space="preserve">o zoznamu </w:t>
            </w:r>
            <w:r>
              <w:rPr>
                <w:rFonts w:ascii="Arial Narrow" w:eastAsia="Calibri" w:hAnsi="Arial Narrow" w:cs="Tahoma"/>
              </w:rPr>
              <w:t xml:space="preserve">dodávok tovaru </w:t>
            </w:r>
            <w:r w:rsidRPr="00806DCD">
              <w:rPr>
                <w:rFonts w:ascii="Arial Narrow" w:eastAsia="Calibri" w:hAnsi="Arial Narrow" w:cs="Tahoma"/>
              </w:rPr>
              <w:t xml:space="preserve">predloženého uchádzačom, musia vyplývať vyššie uvedené požiadavky, a to tak po formálnej ako aj obsahovej stránke (najmä: názov/obchodné meno, sídlo/miesto podnikania odberateľa, predmet zmluvy/plnenia - stručný opis predmetu plnenia, skutočná lehota dodania, kontaktná osoba za odberateľa - meno, priezvisko, pozícia, aktuálne telefónne číslo, e-mail za účelom prípadného overenia predkladaných informácií). </w:t>
            </w:r>
          </w:p>
          <w:p w:rsidR="00A9018A" w:rsidRPr="00806DCD" w:rsidRDefault="00A9018A" w:rsidP="00A9018A">
            <w:pPr>
              <w:ind w:left="230"/>
              <w:jc w:val="both"/>
              <w:rPr>
                <w:rFonts w:ascii="Arial Narrow" w:eastAsia="Calibri" w:hAnsi="Arial Narrow" w:cs="Tahoma"/>
              </w:rPr>
            </w:pPr>
            <w:r w:rsidRPr="00806DCD">
              <w:rPr>
                <w:rFonts w:ascii="Arial Narrow" w:eastAsia="Calibri" w:hAnsi="Arial Narrow" w:cs="Tahoma"/>
              </w:rPr>
              <w:t xml:space="preserve">Ak odberateľom bol verejný obstarávateľ alebo obstarávateľ podľa tohto zákona, súčasťou zoznamu dodávok tovaru musia byť referencia/referencie </w:t>
            </w:r>
            <w:r>
              <w:rPr>
                <w:rFonts w:ascii="Arial Narrow" w:eastAsia="Calibri" w:hAnsi="Arial Narrow" w:cs="Tahoma"/>
              </w:rPr>
              <w:t>alebo ekvivalentn</w:t>
            </w:r>
            <w:r w:rsidRPr="00806DCD">
              <w:rPr>
                <w:rFonts w:ascii="Arial Narrow" w:eastAsia="Calibri" w:hAnsi="Arial Narrow" w:cs="Tahoma"/>
              </w:rPr>
              <w:t>ý/ekvivalentné doklad/doklady v súlade so zákonom.</w:t>
            </w:r>
          </w:p>
          <w:p w:rsidR="00BE446F" w:rsidRPr="00BE446F" w:rsidRDefault="00A9018A" w:rsidP="001F6241">
            <w:pPr>
              <w:spacing w:after="0" w:line="240" w:lineRule="auto"/>
              <w:ind w:left="230"/>
              <w:jc w:val="both"/>
              <w:rPr>
                <w:rFonts w:ascii="Arial Narrow" w:eastAsia="Arial" w:hAnsi="Arial Narrow" w:cs="Times New Roman"/>
              </w:rPr>
            </w:pPr>
            <w:r w:rsidRPr="00A312EF">
              <w:rPr>
                <w:rFonts w:ascii="Arial Narrow" w:hAnsi="Arial Narrow" w:cs="Arial"/>
              </w:rPr>
              <w:t xml:space="preserve">Zo zoznamu </w:t>
            </w:r>
            <w:r>
              <w:rPr>
                <w:rFonts w:ascii="Arial Narrow" w:hAnsi="Arial Narrow" w:cs="Arial"/>
              </w:rPr>
              <w:t>dodávok tovaru</w:t>
            </w:r>
            <w:r w:rsidRPr="00A312EF">
              <w:rPr>
                <w:rFonts w:ascii="Arial Narrow" w:hAnsi="Arial Narrow" w:cs="Arial"/>
              </w:rPr>
              <w:t xml:space="preserve"> predloženého uchádzačom, musia vyplývať vyššie uvedené požiadavky, a to tak po formálnej ako aj obsahovej stránke</w:t>
            </w:r>
            <w:r>
              <w:rPr>
                <w:rFonts w:ascii="Arial Narrow" w:hAnsi="Arial Narrow" w:cs="Arial"/>
              </w:rPr>
              <w:t xml:space="preserve"> (najmä: </w:t>
            </w:r>
            <w:r w:rsidRPr="00417A08">
              <w:rPr>
                <w:rFonts w:ascii="Arial Narrow" w:hAnsi="Arial Narrow" w:cs="Arial"/>
                <w:lang w:eastAsia="sk-SK"/>
              </w:rPr>
              <w:t xml:space="preserve">názov/obchodné meno, sídlo/miesto odberateľa, predmet zmluvy/plnenia </w:t>
            </w:r>
            <w:r>
              <w:rPr>
                <w:rFonts w:ascii="Arial Narrow" w:hAnsi="Arial Narrow" w:cs="Arial"/>
                <w:lang w:eastAsia="sk-SK"/>
              </w:rPr>
              <w:t xml:space="preserve">- </w:t>
            </w:r>
            <w:r w:rsidRPr="00417A08">
              <w:rPr>
                <w:rFonts w:ascii="Arial Narrow" w:hAnsi="Arial Narrow" w:cs="Arial"/>
                <w:lang w:eastAsia="sk-SK"/>
              </w:rPr>
              <w:t>stručný opis predmetu plnenia</w:t>
            </w:r>
            <w:r>
              <w:rPr>
                <w:rFonts w:ascii="Arial Narrow" w:hAnsi="Arial Narrow" w:cs="Arial"/>
                <w:lang w:eastAsia="sk-SK"/>
              </w:rPr>
              <w:t>, zmluvná cena</w:t>
            </w:r>
            <w:r w:rsidRPr="00417A08">
              <w:rPr>
                <w:rFonts w:ascii="Arial Narrow" w:hAnsi="Arial Narrow" w:cs="Arial"/>
                <w:lang w:eastAsia="sk-SK"/>
              </w:rPr>
              <w:t xml:space="preserve"> tovaru v EUR bez DPH</w:t>
            </w:r>
            <w:r>
              <w:rPr>
                <w:rFonts w:ascii="Arial Narrow" w:hAnsi="Arial Narrow" w:cs="Arial"/>
                <w:lang w:eastAsia="sk-SK"/>
              </w:rPr>
              <w:t xml:space="preserve"> a skutočne uhradená cena za dodaný tovar s odôvodnením rozdielu cien</w:t>
            </w:r>
            <w:r>
              <w:rPr>
                <w:rFonts w:ascii="Arial Narrow" w:hAnsi="Arial Narrow" w:cs="Arial"/>
              </w:rPr>
              <w:t xml:space="preserve">, zmluvná lehota dodania a </w:t>
            </w:r>
            <w:r w:rsidRPr="00417A08">
              <w:rPr>
                <w:rFonts w:ascii="Arial Narrow" w:hAnsi="Arial Narrow" w:cs="Arial"/>
                <w:lang w:eastAsia="sk-SK"/>
              </w:rPr>
              <w:t>skutočná lehota dodania</w:t>
            </w:r>
            <w:r>
              <w:rPr>
                <w:rFonts w:ascii="Arial Narrow" w:hAnsi="Arial Narrow" w:cs="Arial"/>
                <w:lang w:eastAsia="sk-SK"/>
              </w:rPr>
              <w:t xml:space="preserve"> s odôvodnením rozdielu lehoty dodania, </w:t>
            </w:r>
            <w:r w:rsidRPr="00417A08">
              <w:rPr>
                <w:rFonts w:ascii="Arial Narrow" w:hAnsi="Arial Narrow" w:cs="Arial"/>
                <w:lang w:eastAsia="sk-SK"/>
              </w:rPr>
              <w:t xml:space="preserve">kontaktná osoba za odberateľa </w:t>
            </w:r>
            <w:r>
              <w:rPr>
                <w:rFonts w:ascii="Arial Narrow" w:hAnsi="Arial Narrow" w:cs="Arial"/>
                <w:lang w:eastAsia="sk-SK"/>
              </w:rPr>
              <w:t xml:space="preserve">- </w:t>
            </w:r>
            <w:r w:rsidRPr="00417A08">
              <w:rPr>
                <w:rFonts w:ascii="Arial Narrow" w:hAnsi="Arial Narrow" w:cs="Arial"/>
                <w:lang w:eastAsia="sk-SK"/>
              </w:rPr>
              <w:t>meno, priezvisko, pozícia, aktuálne telefónne číslo, e-mail za účelom prípadného overenia predkladaných informácií)</w:t>
            </w:r>
            <w:r>
              <w:rPr>
                <w:rFonts w:ascii="Arial Narrow" w:hAnsi="Arial Narrow" w:cs="Arial"/>
                <w:lang w:eastAsia="sk-SK"/>
              </w:rPr>
              <w:t>.</w:t>
            </w:r>
          </w:p>
          <w:p w:rsidR="000D7D3D" w:rsidRDefault="000D7D3D" w:rsidP="00BE446F">
            <w:pPr>
              <w:spacing w:after="0" w:line="240" w:lineRule="auto"/>
              <w:ind w:left="241"/>
              <w:jc w:val="both"/>
              <w:rPr>
                <w:rFonts w:ascii="Arial Narrow" w:eastAsia="Arial" w:hAnsi="Arial Narrow" w:cs="Times New Roman"/>
              </w:rPr>
            </w:pPr>
            <w:bookmarkStart w:id="0" w:name="_GoBack"/>
            <w:bookmarkEnd w:id="0"/>
          </w:p>
          <w:p w:rsidR="000D7D3D" w:rsidRDefault="000D7D3D" w:rsidP="00BE446F">
            <w:pPr>
              <w:spacing w:after="0" w:line="240" w:lineRule="auto"/>
              <w:ind w:left="241"/>
              <w:jc w:val="both"/>
              <w:rPr>
                <w:rFonts w:ascii="Arial Narrow" w:eastAsia="Arial" w:hAnsi="Arial Narrow" w:cs="Times New Roman"/>
              </w:rPr>
            </w:pPr>
          </w:p>
          <w:p w:rsidR="001F6241" w:rsidRDefault="000D7D3D" w:rsidP="00BE446F">
            <w:pPr>
              <w:spacing w:after="0" w:line="240" w:lineRule="auto"/>
              <w:ind w:left="241"/>
              <w:jc w:val="both"/>
              <w:rPr>
                <w:rFonts w:ascii="Arial Narrow" w:hAnsi="Arial Narrow" w:cs="Arial"/>
              </w:rPr>
            </w:pPr>
            <w:r w:rsidRPr="000D7D3D">
              <w:rPr>
                <w:rFonts w:ascii="Arial Narrow" w:hAnsi="Arial Narrow" w:cs="Arial"/>
              </w:rPr>
              <w:t xml:space="preserve">Uchádzač môže na preukázanie technickej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w:t>
            </w:r>
          </w:p>
          <w:p w:rsidR="000D7D3D" w:rsidRPr="000D7D3D" w:rsidRDefault="000D7D3D" w:rsidP="00BE446F">
            <w:pPr>
              <w:spacing w:after="0" w:line="240" w:lineRule="auto"/>
              <w:ind w:left="241"/>
              <w:jc w:val="both"/>
              <w:rPr>
                <w:rFonts w:ascii="Arial Narrow" w:hAnsi="Arial Narrow" w:cs="Arial"/>
              </w:rPr>
            </w:pPr>
            <w:r w:rsidRPr="000D7D3D">
              <w:rPr>
                <w:rFonts w:ascii="Arial Narrow" w:hAnsi="Arial Narrow" w:cs="Arial"/>
              </w:rPr>
              <w:lastRenderedPageBreak/>
              <w:t>Ak ponuku predkladá skupina dodávateľov, splnenie podmienok účasti vo verejnom obstarávaní týkajúce sa technickej alebo odbornej spôsobilosti preukazuje spoločne. Skupina dodávateľov môže využiť technické a odborné kapacity účastníkov skupiny dodávateľov alebo iných osôb podľa § 34 ods. 3 zákona.</w:t>
            </w:r>
          </w:p>
          <w:p w:rsidR="001F6241" w:rsidRPr="000D7D3D" w:rsidRDefault="001F6241" w:rsidP="00BE446F">
            <w:pPr>
              <w:spacing w:after="0" w:line="240" w:lineRule="auto"/>
              <w:ind w:left="241"/>
              <w:jc w:val="both"/>
              <w:rPr>
                <w:rFonts w:ascii="Arial Narrow" w:hAnsi="Arial Narrow" w:cs="Arial"/>
              </w:rPr>
            </w:pPr>
          </w:p>
          <w:p w:rsidR="001F6241" w:rsidRPr="00BE446F" w:rsidRDefault="001F6241" w:rsidP="00BE446F">
            <w:pPr>
              <w:spacing w:after="0" w:line="240" w:lineRule="auto"/>
              <w:ind w:left="241"/>
              <w:jc w:val="both"/>
              <w:rPr>
                <w:rFonts w:ascii="Arial Narrow" w:eastAsia="Arial" w:hAnsi="Arial Narrow" w:cs="Times New Roman"/>
              </w:rPr>
            </w:pPr>
          </w:p>
          <w:p w:rsidR="00BE446F" w:rsidRPr="00BE446F" w:rsidRDefault="00BE446F" w:rsidP="00BE446F">
            <w:pPr>
              <w:spacing w:after="0" w:line="240" w:lineRule="auto"/>
              <w:jc w:val="both"/>
              <w:rPr>
                <w:rFonts w:ascii="Arial Narrow" w:eastAsia="Arial" w:hAnsi="Arial Narrow" w:cs="Times New Roman"/>
              </w:rPr>
            </w:pPr>
            <w:r w:rsidRPr="00BE446F">
              <w:rPr>
                <w:rFonts w:ascii="Times New Roman" w:eastAsia="Arial" w:hAnsi="Times New Roman" w:cs="Times New Roman"/>
                <w:b/>
                <w:sz w:val="24"/>
                <w:szCs w:val="24"/>
              </w:rPr>
              <w:t xml:space="preserve">Hospodársky subjekt môže predbežne nahradiť doklady na preukázanie splnenia podmienok účasti jednotným európskym dokumentom podľa § 39 ods. 1 zákona alebo </w:t>
            </w:r>
            <w:r w:rsidRPr="00BE446F">
              <w:rPr>
                <w:rFonts w:ascii="Times New Roman" w:eastAsia="Times New Roman" w:hAnsi="Times New Roman" w:cs="Times New Roman"/>
                <w:b/>
                <w:sz w:val="24"/>
                <w:szCs w:val="24"/>
                <w:lang w:eastAsia="sk-SK"/>
              </w:rPr>
              <w:t>čestným vyhlásením podľa § 114 ods. 1 zákona.</w:t>
            </w:r>
          </w:p>
        </w:tc>
      </w:tr>
    </w:tbl>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022AF1" w:rsidRDefault="00022AF1"/>
    <w:sectPr w:rsidR="00022AF1" w:rsidSect="00FB3C77">
      <w:headerReference w:type="default" r:id="rId7"/>
      <w:footerReference w:type="default" r:id="rId8"/>
      <w:pgSz w:w="11906" w:h="16838"/>
      <w:pgMar w:top="1417" w:right="1417" w:bottom="1417" w:left="141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2D" w:rsidRDefault="000B2C2D">
      <w:pPr>
        <w:spacing w:after="0" w:line="240" w:lineRule="auto"/>
      </w:pPr>
      <w:r>
        <w:separator/>
      </w:r>
    </w:p>
  </w:endnote>
  <w:endnote w:type="continuationSeparator" w:id="0">
    <w:p w:rsidR="000B2C2D" w:rsidRDefault="000B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77" w:rsidRPr="006211AD" w:rsidRDefault="005D10E4" w:rsidP="00FB3C77">
    <w:pPr>
      <w:pStyle w:val="Pta"/>
      <w:jc w:val="right"/>
      <w:rPr>
        <w:rFonts w:ascii="Arial Narrow" w:hAnsi="Arial Narrow" w:cs="Arial Narrow"/>
        <w:sz w:val="18"/>
        <w:szCs w:val="18"/>
      </w:rPr>
    </w:pPr>
    <w:r w:rsidRPr="006211AD">
      <w:rPr>
        <w:rFonts w:ascii="Arial Narrow" w:hAnsi="Arial Narrow" w:cs="Arial Narrow"/>
        <w:sz w:val="18"/>
        <w:szCs w:val="18"/>
      </w:rPr>
      <w:fldChar w:fldCharType="begin"/>
    </w:r>
    <w:r w:rsidRPr="006211AD">
      <w:rPr>
        <w:rFonts w:ascii="Arial Narrow" w:hAnsi="Arial Narrow" w:cs="Arial Narrow"/>
        <w:sz w:val="18"/>
        <w:szCs w:val="18"/>
      </w:rPr>
      <w:instrText>PAGE</w:instrText>
    </w:r>
    <w:r w:rsidRPr="006211AD">
      <w:rPr>
        <w:rFonts w:ascii="Arial Narrow" w:hAnsi="Arial Narrow" w:cs="Arial Narrow"/>
        <w:sz w:val="18"/>
        <w:szCs w:val="18"/>
      </w:rPr>
      <w:fldChar w:fldCharType="separate"/>
    </w:r>
    <w:r w:rsidR="00A75EEC">
      <w:rPr>
        <w:rFonts w:ascii="Arial Narrow" w:hAnsi="Arial Narrow" w:cs="Arial Narrow"/>
        <w:noProof/>
        <w:sz w:val="18"/>
        <w:szCs w:val="18"/>
      </w:rPr>
      <w:t>1</w:t>
    </w:r>
    <w:r w:rsidRPr="006211AD">
      <w:rPr>
        <w:rFonts w:ascii="Arial Narrow" w:hAnsi="Arial Narrow" w:cs="Arial Narrow"/>
        <w:sz w:val="18"/>
        <w:szCs w:val="18"/>
      </w:rPr>
      <w:fldChar w:fldCharType="end"/>
    </w:r>
    <w:r>
      <w:rPr>
        <w:rFonts w:ascii="Arial Narrow" w:hAnsi="Arial Narrow" w:cs="Arial Narrow"/>
        <w:sz w:val="18"/>
        <w:szCs w:val="18"/>
      </w:rPr>
      <w:t>/</w:t>
    </w:r>
    <w:r w:rsidRPr="006211AD">
      <w:rPr>
        <w:rFonts w:ascii="Arial Narrow" w:hAnsi="Arial Narrow" w:cs="Arial Narrow"/>
        <w:sz w:val="18"/>
        <w:szCs w:val="18"/>
      </w:rPr>
      <w:fldChar w:fldCharType="begin"/>
    </w:r>
    <w:r w:rsidRPr="006211AD">
      <w:rPr>
        <w:rFonts w:ascii="Arial Narrow" w:hAnsi="Arial Narrow" w:cs="Arial Narrow"/>
        <w:sz w:val="18"/>
        <w:szCs w:val="18"/>
      </w:rPr>
      <w:instrText>NUMPAGES</w:instrText>
    </w:r>
    <w:r w:rsidRPr="006211AD">
      <w:rPr>
        <w:rFonts w:ascii="Arial Narrow" w:hAnsi="Arial Narrow" w:cs="Arial Narrow"/>
        <w:sz w:val="18"/>
        <w:szCs w:val="18"/>
      </w:rPr>
      <w:fldChar w:fldCharType="separate"/>
    </w:r>
    <w:r w:rsidR="00A75EEC">
      <w:rPr>
        <w:rFonts w:ascii="Arial Narrow" w:hAnsi="Arial Narrow" w:cs="Arial Narrow"/>
        <w:noProof/>
        <w:sz w:val="18"/>
        <w:szCs w:val="18"/>
      </w:rPr>
      <w:t>4</w:t>
    </w:r>
    <w:r w:rsidRPr="006211AD">
      <w:rPr>
        <w:rFonts w:ascii="Arial Narrow" w:hAnsi="Arial Narrow" w:cs="Arial Narrow"/>
        <w:sz w:val="18"/>
        <w:szCs w:val="18"/>
      </w:rPr>
      <w:fldChar w:fldCharType="end"/>
    </w:r>
  </w:p>
  <w:p w:rsidR="00FB3C77" w:rsidRPr="006A56AB" w:rsidRDefault="005D10E4" w:rsidP="00FB3C77">
    <w:pPr>
      <w:pStyle w:val="Pta"/>
      <w:rPr>
        <w:rFonts w:ascii="Arial Narrow" w:hAnsi="Arial Narrow" w:cs="Arial Narrow"/>
        <w:sz w:val="14"/>
        <w:szCs w:val="16"/>
      </w:rPr>
    </w:pPr>
    <w:r>
      <w:rPr>
        <w:rFonts w:ascii="Arial Narrow" w:hAnsi="Arial Narrow" w:cs="Arial Narrow"/>
        <w:sz w:val="14"/>
        <w:szCs w:val="16"/>
      </w:rPr>
      <w:t xml:space="preserve">Príloha </w:t>
    </w:r>
    <w:r w:rsidR="00DD54FF">
      <w:rPr>
        <w:rFonts w:ascii="Arial Narrow" w:hAnsi="Arial Narrow" w:cs="Arial Narrow"/>
        <w:sz w:val="14"/>
        <w:szCs w:val="16"/>
      </w:rPr>
      <w:t>7</w:t>
    </w:r>
    <w:r>
      <w:rPr>
        <w:rFonts w:ascii="Arial Narrow" w:hAnsi="Arial Narrow" w:cs="Arial Narrow"/>
        <w:sz w:val="14"/>
        <w:szCs w:val="16"/>
      </w:rPr>
      <w:t xml:space="preserve"> k </w:t>
    </w:r>
    <w:r w:rsidRPr="006A56AB">
      <w:rPr>
        <w:rFonts w:ascii="Arial Narrow" w:hAnsi="Arial Narrow" w:cs="Arial Narrow"/>
        <w:sz w:val="14"/>
        <w:szCs w:val="16"/>
      </w:rPr>
      <w:t>SP: „</w:t>
    </w:r>
    <w:r w:rsidR="001466F1" w:rsidRPr="001466F1">
      <w:rPr>
        <w:rFonts w:ascii="Arial Narrow" w:hAnsi="Arial Narrow" w:cs="Arial Narrow"/>
        <w:sz w:val="14"/>
        <w:szCs w:val="16"/>
      </w:rPr>
      <w:t>Prístupový a parkovací systém</w:t>
    </w:r>
    <w:r w:rsidRPr="00FD7BF1">
      <w:rPr>
        <w:rFonts w:ascii="Arial Narrow" w:hAnsi="Arial Narrow" w:cs="Arial Narrow"/>
        <w:sz w:val="14"/>
        <w:szCs w:val="16"/>
      </w:rPr>
      <w:t>“</w:t>
    </w:r>
  </w:p>
  <w:p w:rsidR="00C42F76" w:rsidRDefault="000B2C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2D" w:rsidRDefault="000B2C2D">
      <w:pPr>
        <w:spacing w:after="0" w:line="240" w:lineRule="auto"/>
      </w:pPr>
      <w:r>
        <w:separator/>
      </w:r>
    </w:p>
  </w:footnote>
  <w:footnote w:type="continuationSeparator" w:id="0">
    <w:p w:rsidR="000B2C2D" w:rsidRDefault="000B2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E4" w:rsidRPr="008F75F0" w:rsidRDefault="005D10E4" w:rsidP="00CF06E4">
    <w:pPr>
      <w:pStyle w:val="Zkladntext3"/>
      <w:spacing w:after="0"/>
      <w:jc w:val="center"/>
      <w:rPr>
        <w:rFonts w:ascii="Arial Narrow" w:hAnsi="Arial Narrow" w:cs="Arial"/>
        <w:color w:val="808080"/>
        <w:sz w:val="18"/>
        <w:szCs w:val="18"/>
      </w:rPr>
    </w:pPr>
    <w:r w:rsidRPr="008F75F0">
      <w:rPr>
        <w:rFonts w:ascii="Arial Narrow" w:hAnsi="Arial Narrow" w:cs="Arial"/>
        <w:color w:val="808080"/>
        <w:sz w:val="18"/>
        <w:szCs w:val="18"/>
      </w:rPr>
      <w:t>Podľa ustanovení zákona č 343/2015 Z. z. o verejnom obstarávaní a o zmene a doplnení niektorých zákonov</w:t>
    </w:r>
  </w:p>
  <w:p w:rsidR="00CF06E4" w:rsidRPr="008F75F0" w:rsidRDefault="005D10E4" w:rsidP="00CF06E4">
    <w:pPr>
      <w:pStyle w:val="Zkladntext3"/>
      <w:spacing w:after="0"/>
      <w:jc w:val="center"/>
      <w:rPr>
        <w:rFonts w:ascii="Arial Narrow" w:hAnsi="Arial Narrow" w:cs="Arial"/>
        <w:color w:val="808080"/>
        <w:sz w:val="18"/>
        <w:szCs w:val="18"/>
      </w:rPr>
    </w:pPr>
    <w:r w:rsidRPr="008F75F0">
      <w:rPr>
        <w:rFonts w:ascii="Arial Narrow" w:hAnsi="Arial Narrow" w:cs="Arial"/>
        <w:color w:val="808080"/>
        <w:sz w:val="18"/>
        <w:szCs w:val="18"/>
      </w:rPr>
      <w:t>v znení neskorších predpisov</w:t>
    </w:r>
  </w:p>
  <w:p w:rsidR="00CF06E4" w:rsidRDefault="00BE446F" w:rsidP="00CF06E4">
    <w:pPr>
      <w:pStyle w:val="Hlavika"/>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3175</wp:posOffset>
              </wp:positionH>
              <wp:positionV relativeFrom="paragraph">
                <wp:posOffset>72389</wp:posOffset>
              </wp:positionV>
              <wp:extent cx="6072505" cy="0"/>
              <wp:effectExtent l="0" t="0" r="23495" b="19050"/>
              <wp:wrapTopAndBottom/>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EA18" id="Rovná spojnica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jwgYXCECAAAzBAAADgAAAAAAAAAAAAAAAAAuAgAAZHJzL2Uyb0RvYy54bWxQSwEC&#10;LQAUAAYACAAAACEA7EwqCNoAAAAGAQAADwAAAAAAAAAAAAAAAAB7BAAAZHJzL2Rvd25yZXYueG1s&#10;UEsFBgAAAAAEAAQA8wAAAIIFA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46B0"/>
    <w:multiLevelType w:val="hybridMultilevel"/>
    <w:tmpl w:val="7DE2AC96"/>
    <w:lvl w:ilvl="0" w:tplc="041B0001">
      <w:start w:val="1"/>
      <w:numFmt w:val="bullet"/>
      <w:lvlText w:val=""/>
      <w:lvlJc w:val="left"/>
      <w:pPr>
        <w:ind w:left="601" w:hanging="360"/>
      </w:pPr>
      <w:rPr>
        <w:rFonts w:ascii="Symbol" w:hAnsi="Symbol" w:hint="default"/>
      </w:rPr>
    </w:lvl>
    <w:lvl w:ilvl="1" w:tplc="041B0003" w:tentative="1">
      <w:start w:val="1"/>
      <w:numFmt w:val="bullet"/>
      <w:lvlText w:val="o"/>
      <w:lvlJc w:val="left"/>
      <w:pPr>
        <w:ind w:left="1321" w:hanging="360"/>
      </w:pPr>
      <w:rPr>
        <w:rFonts w:ascii="Courier New" w:hAnsi="Courier New" w:cs="Courier New" w:hint="default"/>
      </w:rPr>
    </w:lvl>
    <w:lvl w:ilvl="2" w:tplc="041B0005" w:tentative="1">
      <w:start w:val="1"/>
      <w:numFmt w:val="bullet"/>
      <w:lvlText w:val=""/>
      <w:lvlJc w:val="left"/>
      <w:pPr>
        <w:ind w:left="2041" w:hanging="360"/>
      </w:pPr>
      <w:rPr>
        <w:rFonts w:ascii="Wingdings" w:hAnsi="Wingdings" w:hint="default"/>
      </w:rPr>
    </w:lvl>
    <w:lvl w:ilvl="3" w:tplc="041B0001" w:tentative="1">
      <w:start w:val="1"/>
      <w:numFmt w:val="bullet"/>
      <w:lvlText w:val=""/>
      <w:lvlJc w:val="left"/>
      <w:pPr>
        <w:ind w:left="2761" w:hanging="360"/>
      </w:pPr>
      <w:rPr>
        <w:rFonts w:ascii="Symbol" w:hAnsi="Symbol" w:hint="default"/>
      </w:rPr>
    </w:lvl>
    <w:lvl w:ilvl="4" w:tplc="041B0003" w:tentative="1">
      <w:start w:val="1"/>
      <w:numFmt w:val="bullet"/>
      <w:lvlText w:val="o"/>
      <w:lvlJc w:val="left"/>
      <w:pPr>
        <w:ind w:left="3481" w:hanging="360"/>
      </w:pPr>
      <w:rPr>
        <w:rFonts w:ascii="Courier New" w:hAnsi="Courier New" w:cs="Courier New" w:hint="default"/>
      </w:rPr>
    </w:lvl>
    <w:lvl w:ilvl="5" w:tplc="041B0005" w:tentative="1">
      <w:start w:val="1"/>
      <w:numFmt w:val="bullet"/>
      <w:lvlText w:val=""/>
      <w:lvlJc w:val="left"/>
      <w:pPr>
        <w:ind w:left="4201" w:hanging="360"/>
      </w:pPr>
      <w:rPr>
        <w:rFonts w:ascii="Wingdings" w:hAnsi="Wingdings" w:hint="default"/>
      </w:rPr>
    </w:lvl>
    <w:lvl w:ilvl="6" w:tplc="041B0001" w:tentative="1">
      <w:start w:val="1"/>
      <w:numFmt w:val="bullet"/>
      <w:lvlText w:val=""/>
      <w:lvlJc w:val="left"/>
      <w:pPr>
        <w:ind w:left="4921" w:hanging="360"/>
      </w:pPr>
      <w:rPr>
        <w:rFonts w:ascii="Symbol" w:hAnsi="Symbol" w:hint="default"/>
      </w:rPr>
    </w:lvl>
    <w:lvl w:ilvl="7" w:tplc="041B0003" w:tentative="1">
      <w:start w:val="1"/>
      <w:numFmt w:val="bullet"/>
      <w:lvlText w:val="o"/>
      <w:lvlJc w:val="left"/>
      <w:pPr>
        <w:ind w:left="5641" w:hanging="360"/>
      </w:pPr>
      <w:rPr>
        <w:rFonts w:ascii="Courier New" w:hAnsi="Courier New" w:cs="Courier New" w:hint="default"/>
      </w:rPr>
    </w:lvl>
    <w:lvl w:ilvl="8" w:tplc="041B0005" w:tentative="1">
      <w:start w:val="1"/>
      <w:numFmt w:val="bullet"/>
      <w:lvlText w:val=""/>
      <w:lvlJc w:val="left"/>
      <w:pPr>
        <w:ind w:left="6361" w:hanging="360"/>
      </w:pPr>
      <w:rPr>
        <w:rFonts w:ascii="Wingdings" w:hAnsi="Wingdings" w:hint="default"/>
      </w:rPr>
    </w:lvl>
  </w:abstractNum>
  <w:abstractNum w:abstractNumId="1"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5F26A1"/>
    <w:multiLevelType w:val="hybridMultilevel"/>
    <w:tmpl w:val="BB7E4B6E"/>
    <w:lvl w:ilvl="0" w:tplc="D40A37BE">
      <w:start w:val="4"/>
      <w:numFmt w:val="upperLetter"/>
      <w:lvlText w:val="%1)"/>
      <w:lvlJc w:val="left"/>
      <w:pPr>
        <w:ind w:left="68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DE688A"/>
    <w:multiLevelType w:val="hybridMultilevel"/>
    <w:tmpl w:val="795A1352"/>
    <w:lvl w:ilvl="0" w:tplc="6D7211EC">
      <w:start w:val="2"/>
      <w:numFmt w:val="lowerLetter"/>
      <w:lvlText w:val="%1)"/>
      <w:lvlJc w:val="left"/>
      <w:pPr>
        <w:ind w:left="601" w:hanging="360"/>
      </w:pPr>
      <w:rPr>
        <w:rFonts w:hint="default"/>
        <w:b/>
        <w:i w:val="0"/>
        <w:u w:val="none"/>
      </w:rPr>
    </w:lvl>
    <w:lvl w:ilvl="1" w:tplc="041B0019" w:tentative="1">
      <w:start w:val="1"/>
      <w:numFmt w:val="lowerLetter"/>
      <w:lvlText w:val="%2."/>
      <w:lvlJc w:val="left"/>
      <w:pPr>
        <w:ind w:left="1321" w:hanging="360"/>
      </w:pPr>
    </w:lvl>
    <w:lvl w:ilvl="2" w:tplc="041B001B" w:tentative="1">
      <w:start w:val="1"/>
      <w:numFmt w:val="lowerRoman"/>
      <w:lvlText w:val="%3."/>
      <w:lvlJc w:val="right"/>
      <w:pPr>
        <w:ind w:left="2041" w:hanging="180"/>
      </w:pPr>
    </w:lvl>
    <w:lvl w:ilvl="3" w:tplc="041B000F" w:tentative="1">
      <w:start w:val="1"/>
      <w:numFmt w:val="decimal"/>
      <w:lvlText w:val="%4."/>
      <w:lvlJc w:val="left"/>
      <w:pPr>
        <w:ind w:left="2761" w:hanging="360"/>
      </w:pPr>
    </w:lvl>
    <w:lvl w:ilvl="4" w:tplc="041B0019" w:tentative="1">
      <w:start w:val="1"/>
      <w:numFmt w:val="lowerLetter"/>
      <w:lvlText w:val="%5."/>
      <w:lvlJc w:val="left"/>
      <w:pPr>
        <w:ind w:left="3481" w:hanging="360"/>
      </w:pPr>
    </w:lvl>
    <w:lvl w:ilvl="5" w:tplc="041B001B" w:tentative="1">
      <w:start w:val="1"/>
      <w:numFmt w:val="lowerRoman"/>
      <w:lvlText w:val="%6."/>
      <w:lvlJc w:val="right"/>
      <w:pPr>
        <w:ind w:left="4201" w:hanging="180"/>
      </w:pPr>
    </w:lvl>
    <w:lvl w:ilvl="6" w:tplc="041B000F" w:tentative="1">
      <w:start w:val="1"/>
      <w:numFmt w:val="decimal"/>
      <w:lvlText w:val="%7."/>
      <w:lvlJc w:val="left"/>
      <w:pPr>
        <w:ind w:left="4921" w:hanging="360"/>
      </w:pPr>
    </w:lvl>
    <w:lvl w:ilvl="7" w:tplc="041B0019" w:tentative="1">
      <w:start w:val="1"/>
      <w:numFmt w:val="lowerLetter"/>
      <w:lvlText w:val="%8."/>
      <w:lvlJc w:val="left"/>
      <w:pPr>
        <w:ind w:left="5641" w:hanging="360"/>
      </w:pPr>
    </w:lvl>
    <w:lvl w:ilvl="8" w:tplc="041B001B" w:tentative="1">
      <w:start w:val="1"/>
      <w:numFmt w:val="lowerRoman"/>
      <w:lvlText w:val="%9."/>
      <w:lvlJc w:val="right"/>
      <w:pPr>
        <w:ind w:left="6361" w:hanging="180"/>
      </w:pPr>
    </w:lvl>
  </w:abstractNum>
  <w:abstractNum w:abstractNumId="4" w15:restartNumberingAfterBreak="0">
    <w:nsid w:val="4E236382"/>
    <w:multiLevelType w:val="hybridMultilevel"/>
    <w:tmpl w:val="D5744656"/>
    <w:lvl w:ilvl="0" w:tplc="F80C92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6F"/>
    <w:rsid w:val="00022AF1"/>
    <w:rsid w:val="000B2C2D"/>
    <w:rsid w:val="000D7D3D"/>
    <w:rsid w:val="000F4CD7"/>
    <w:rsid w:val="001466F1"/>
    <w:rsid w:val="001F6241"/>
    <w:rsid w:val="00337B02"/>
    <w:rsid w:val="0041254A"/>
    <w:rsid w:val="004C45BD"/>
    <w:rsid w:val="005D10E4"/>
    <w:rsid w:val="00601E4E"/>
    <w:rsid w:val="006300C1"/>
    <w:rsid w:val="00743275"/>
    <w:rsid w:val="007F0B3D"/>
    <w:rsid w:val="00A75EEC"/>
    <w:rsid w:val="00A9018A"/>
    <w:rsid w:val="00B87705"/>
    <w:rsid w:val="00BE446F"/>
    <w:rsid w:val="00C81BFF"/>
    <w:rsid w:val="00DD54FF"/>
    <w:rsid w:val="00DD79F2"/>
    <w:rsid w:val="00FC5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F7050-DC20-4A9B-A3C7-FBBEE1F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semiHidden/>
    <w:unhideWhenUsed/>
    <w:rsid w:val="00BE446F"/>
    <w:pPr>
      <w:spacing w:after="120"/>
    </w:pPr>
    <w:rPr>
      <w:sz w:val="16"/>
      <w:szCs w:val="16"/>
    </w:rPr>
  </w:style>
  <w:style w:type="character" w:customStyle="1" w:styleId="Zkladntext3Char">
    <w:name w:val="Základný text 3 Char"/>
    <w:basedOn w:val="Predvolenpsmoodseku"/>
    <w:link w:val="Zkladntext3"/>
    <w:uiPriority w:val="99"/>
    <w:semiHidden/>
    <w:rsid w:val="00BE446F"/>
    <w:rPr>
      <w:sz w:val="16"/>
      <w:szCs w:val="16"/>
    </w:rPr>
  </w:style>
  <w:style w:type="paragraph" w:styleId="Hlavika">
    <w:name w:val="header"/>
    <w:basedOn w:val="Normlny"/>
    <w:link w:val="HlavikaChar"/>
    <w:unhideWhenUsed/>
    <w:rsid w:val="00BE446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BE446F"/>
    <w:rPr>
      <w:rFonts w:ascii="Times New Roman" w:eastAsia="Times New Roman" w:hAnsi="Times New Roman" w:cs="Times New Roman"/>
      <w:sz w:val="24"/>
      <w:szCs w:val="24"/>
      <w:lang w:eastAsia="sk-SK"/>
    </w:rPr>
  </w:style>
  <w:style w:type="paragraph" w:styleId="Pta">
    <w:name w:val="footer"/>
    <w:basedOn w:val="Normlny"/>
    <w:link w:val="PtaChar"/>
    <w:unhideWhenUsed/>
    <w:rsid w:val="00BE446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BE446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101">
      <w:bodyDiv w:val="1"/>
      <w:marLeft w:val="0"/>
      <w:marRight w:val="0"/>
      <w:marTop w:val="0"/>
      <w:marBottom w:val="0"/>
      <w:divBdr>
        <w:top w:val="none" w:sz="0" w:space="0" w:color="auto"/>
        <w:left w:val="none" w:sz="0" w:space="0" w:color="auto"/>
        <w:bottom w:val="none" w:sz="0" w:space="0" w:color="auto"/>
        <w:right w:val="none" w:sz="0" w:space="0" w:color="auto"/>
      </w:divBdr>
      <w:divsChild>
        <w:div w:id="603076240">
          <w:marLeft w:val="750"/>
          <w:marRight w:val="0"/>
          <w:marTop w:val="0"/>
          <w:marBottom w:val="0"/>
          <w:divBdr>
            <w:top w:val="none" w:sz="0" w:space="0" w:color="auto"/>
            <w:left w:val="none" w:sz="0" w:space="0" w:color="auto"/>
            <w:bottom w:val="none" w:sz="0" w:space="0" w:color="auto"/>
            <w:right w:val="none" w:sz="0" w:space="0" w:color="auto"/>
          </w:divBdr>
        </w:div>
        <w:div w:id="1283533914">
          <w:marLeft w:val="750"/>
          <w:marRight w:val="0"/>
          <w:marTop w:val="0"/>
          <w:marBottom w:val="0"/>
          <w:divBdr>
            <w:top w:val="none" w:sz="0" w:space="0" w:color="auto"/>
            <w:left w:val="none" w:sz="0" w:space="0" w:color="auto"/>
            <w:bottom w:val="none" w:sz="0" w:space="0" w:color="auto"/>
            <w:right w:val="none" w:sz="0" w:space="0" w:color="auto"/>
          </w:divBdr>
        </w:div>
      </w:divsChild>
    </w:div>
    <w:div w:id="1041174930">
      <w:bodyDiv w:val="1"/>
      <w:marLeft w:val="0"/>
      <w:marRight w:val="0"/>
      <w:marTop w:val="0"/>
      <w:marBottom w:val="0"/>
      <w:divBdr>
        <w:top w:val="none" w:sz="0" w:space="0" w:color="auto"/>
        <w:left w:val="none" w:sz="0" w:space="0" w:color="auto"/>
        <w:bottom w:val="none" w:sz="0" w:space="0" w:color="auto"/>
        <w:right w:val="none" w:sz="0" w:space="0" w:color="auto"/>
      </w:divBdr>
      <w:divsChild>
        <w:div w:id="1956717217">
          <w:marLeft w:val="750"/>
          <w:marRight w:val="0"/>
          <w:marTop w:val="0"/>
          <w:marBottom w:val="0"/>
          <w:divBdr>
            <w:top w:val="none" w:sz="0" w:space="0" w:color="auto"/>
            <w:left w:val="none" w:sz="0" w:space="0" w:color="auto"/>
            <w:bottom w:val="none" w:sz="0" w:space="0" w:color="auto"/>
            <w:right w:val="none" w:sz="0" w:space="0" w:color="auto"/>
          </w:divBdr>
        </w:div>
        <w:div w:id="409280893">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1370</Words>
  <Characters>7812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Matúš Porubčanský</dc:creator>
  <cp:keywords/>
  <dc:description/>
  <cp:lastModifiedBy>Mgr. Matúš Porubčanský</cp:lastModifiedBy>
  <cp:revision>12</cp:revision>
  <dcterms:created xsi:type="dcterms:W3CDTF">2021-10-19T06:35:00Z</dcterms:created>
  <dcterms:modified xsi:type="dcterms:W3CDTF">2021-11-23T07:43:00Z</dcterms:modified>
</cp:coreProperties>
</file>