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1175E4" w:rsidRPr="001175E4">
        <w:rPr>
          <w:rFonts w:ascii="Arial Narrow" w:hAnsi="Arial Narrow" w:cs="Times New Roman"/>
          <w:sz w:val="22"/>
          <w:szCs w:val="22"/>
        </w:rPr>
        <w:t>Diaľkovo ovládané mobilné technické zariadenia (roboty) na dezinfekciu a dezinfekčné brány s dezinfekčnou náplňou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 - časť 1: </w:t>
      </w:r>
      <w:r w:rsidR="001175E4" w:rsidRPr="001175E4">
        <w:rPr>
          <w:rFonts w:ascii="Arial Narrow" w:hAnsi="Arial Narrow" w:cs="Times New Roman"/>
          <w:sz w:val="22"/>
          <w:szCs w:val="22"/>
        </w:rPr>
        <w:t>Diaľkovo ovládané mobilné technické zariadenia (roboty) na dezinfekciu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1175E4"/>
    <w:rsid w:val="001D6714"/>
    <w:rsid w:val="00212146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7F1D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Galabova</cp:lastModifiedBy>
  <cp:revision>4</cp:revision>
  <dcterms:created xsi:type="dcterms:W3CDTF">2020-07-26T13:40:00Z</dcterms:created>
  <dcterms:modified xsi:type="dcterms:W3CDTF">2020-07-26T13:43:00Z</dcterms:modified>
</cp:coreProperties>
</file>