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DD" w:rsidRPr="005A3E8F" w:rsidRDefault="004F43DD" w:rsidP="004F43DD">
      <w:pPr>
        <w:jc w:val="right"/>
        <w:rPr>
          <w:rFonts w:ascii="Arial Narrow" w:hAnsi="Arial Narrow" w:cs="Times New Roman"/>
          <w:b/>
        </w:rPr>
      </w:pPr>
      <w:r w:rsidRPr="005A3E8F">
        <w:rPr>
          <w:rFonts w:ascii="Arial Narrow" w:hAnsi="Arial Narrow" w:cs="Times New Roman"/>
          <w:b/>
        </w:rPr>
        <w:t>Príloha č. 5 Súťažných podkladov</w:t>
      </w:r>
    </w:p>
    <w:p w:rsidR="004F43DD" w:rsidRPr="005A3E8F" w:rsidRDefault="004F43DD" w:rsidP="004F43DD">
      <w:pPr>
        <w:jc w:val="center"/>
        <w:rPr>
          <w:rFonts w:ascii="Arial Narrow" w:hAnsi="Arial Narrow" w:cs="Times New Roman"/>
          <w:b/>
        </w:rPr>
      </w:pPr>
      <w:r w:rsidRPr="005A3E8F">
        <w:rPr>
          <w:rFonts w:ascii="Arial Narrow" w:hAnsi="Arial Narrow" w:cs="Times New Roman"/>
          <w:b/>
        </w:rPr>
        <w:t>PODMIENKY ÚČASTI</w:t>
      </w:r>
    </w:p>
    <w:p w:rsidR="004F43DD" w:rsidRPr="005A3E8F" w:rsidRDefault="004F43DD" w:rsidP="004F43DD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4F43DD" w:rsidRPr="005A3E8F" w:rsidRDefault="004F43DD" w:rsidP="004F43DD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4F43DD" w:rsidRPr="005A3E8F" w:rsidRDefault="004F43DD" w:rsidP="004F43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5A3E8F">
        <w:rPr>
          <w:rFonts w:ascii="Arial Narrow" w:eastAsia="Times New Roman" w:hAnsi="Arial Narrow" w:cs="Times New Roman"/>
          <w:b/>
          <w:lang w:eastAsia="sk-SK"/>
        </w:rPr>
        <w:t>Vhodnosť vykonávať profesionálnu činnosť vrátane požiadaviek týkajúcich sa zápisu do živnostenských alebo obchodných registrov</w:t>
      </w:r>
    </w:p>
    <w:p w:rsidR="004F43DD" w:rsidRPr="005A3E8F" w:rsidRDefault="004F43DD" w:rsidP="004F43DD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4F43DD" w:rsidRPr="005A3E8F" w:rsidRDefault="004F43DD" w:rsidP="004F43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5A3E8F">
        <w:rPr>
          <w:rFonts w:ascii="Arial Narrow" w:eastAsia="Times New Roman" w:hAnsi="Arial Narrow" w:cs="Times New Roman"/>
          <w:b/>
          <w:lang w:eastAsia="sk-SK"/>
        </w:rPr>
        <w:t>Zoznam a krátky opis podmienok</w:t>
      </w:r>
    </w:p>
    <w:p w:rsidR="00362EEC" w:rsidRPr="005A3E8F" w:rsidRDefault="00362EEC" w:rsidP="004F43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362EEC" w:rsidRPr="005A3E8F" w:rsidRDefault="00362EEC" w:rsidP="004F43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5A3E8F">
        <w:rPr>
          <w:rFonts w:ascii="Arial Narrow" w:eastAsia="Times New Roman" w:hAnsi="Arial Narrow" w:cs="Times New Roman"/>
          <w:b/>
          <w:lang w:eastAsia="sk-SK"/>
        </w:rPr>
        <w:t>Osobné postavenie</w:t>
      </w:r>
    </w:p>
    <w:p w:rsidR="005A3E8F" w:rsidRPr="005A3E8F" w:rsidRDefault="005A3E8F" w:rsidP="005A3E8F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5A3E8F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5A3E8F">
        <w:rPr>
          <w:rStyle w:val="Jemnzvraznenie"/>
          <w:rFonts w:ascii="Arial Narrow" w:hAnsi="Arial Narrow" w:cs="Arial"/>
          <w:iCs/>
          <w:sz w:val="22"/>
        </w:rPr>
        <w:t xml:space="preserve"> </w:t>
      </w:r>
    </w:p>
    <w:p w:rsidR="005A3E8F" w:rsidRPr="005A3E8F" w:rsidRDefault="005A3E8F" w:rsidP="005A3E8F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5A3E8F">
        <w:rPr>
          <w:rStyle w:val="Jemnzvraznenie"/>
          <w:rFonts w:ascii="Arial Narrow" w:hAnsi="Arial Narrow" w:cs="Arial"/>
          <w:b w:val="0"/>
          <w:iCs/>
          <w:sz w:val="22"/>
        </w:rPr>
        <w:t>Verejný obstarávateľ upozorňuje na znenie podmienok účasti podľa § 32 ods. 1 písm. b) a c) zákona a spôsobu ich preukazovania podľa § 32 ods. 2 písm. c) zákona účinné od 1.12.2019.</w:t>
      </w:r>
    </w:p>
    <w:p w:rsidR="005A3E8F" w:rsidRPr="005A3E8F" w:rsidRDefault="005A3E8F" w:rsidP="005A3E8F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5A3E8F">
        <w:rPr>
          <w:rStyle w:val="Jemnzvraznenie"/>
          <w:rFonts w:ascii="Arial Narrow" w:hAnsi="Arial Narrow" w:cs="Arial"/>
          <w:b w:val="0"/>
          <w:iCs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:rsidR="005A3E8F" w:rsidRPr="005A3E8F" w:rsidRDefault="005A3E8F" w:rsidP="005A3E8F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</w:p>
    <w:p w:rsidR="005A3E8F" w:rsidRPr="005A3E8F" w:rsidRDefault="005A3E8F" w:rsidP="005A3E8F">
      <w:pPr>
        <w:spacing w:after="0" w:line="240" w:lineRule="auto"/>
        <w:jc w:val="both"/>
        <w:rPr>
          <w:rFonts w:ascii="Arial Narrow" w:hAnsi="Arial Narrow" w:cs="Arial"/>
        </w:rPr>
      </w:pPr>
      <w:r w:rsidRPr="005A3E8F">
        <w:rPr>
          <w:rStyle w:val="Jemnzvraznenie"/>
          <w:rFonts w:ascii="Arial Narrow" w:hAnsi="Arial Narrow" w:cs="Arial"/>
          <w:b w:val="0"/>
          <w:iCs/>
          <w:sz w:val="22"/>
        </w:rPr>
        <w:t>Preukazovanie podmienok účasti je voči verejnému obstarávateľovi účinné aj spôsobom podľa § 152 ods. 4 zákona</w:t>
      </w:r>
      <w:r w:rsidRPr="005A3E8F">
        <w:rPr>
          <w:rStyle w:val="Jemnzvraznenie"/>
          <w:rFonts w:ascii="Arial Narrow" w:hAnsi="Arial Narrow" w:cs="Arial"/>
          <w:iCs/>
          <w:sz w:val="22"/>
        </w:rPr>
        <w:t xml:space="preserve">. </w:t>
      </w:r>
      <w:r w:rsidRPr="005A3E8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:rsidR="005A3E8F" w:rsidRDefault="005A3E8F" w:rsidP="005A3E8F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 w:rsidRPr="005A3E8F">
        <w:rPr>
          <w:rFonts w:ascii="Arial Narrow" w:hAnsi="Arial Narrow" w:cs="Arial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:rsidR="005A3E8F" w:rsidRPr="005A3E8F" w:rsidRDefault="005A3E8F" w:rsidP="005A3E8F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bookmarkStart w:id="0" w:name="_GoBack"/>
      <w:bookmarkEnd w:id="0"/>
    </w:p>
    <w:p w:rsidR="005A3E8F" w:rsidRPr="005A3E8F" w:rsidRDefault="005A3E8F" w:rsidP="005A3E8F">
      <w:pPr>
        <w:spacing w:after="120" w:line="240" w:lineRule="auto"/>
        <w:jc w:val="both"/>
        <w:rPr>
          <w:rFonts w:ascii="Arial Narrow" w:hAnsi="Arial Narrow" w:cs="Arial"/>
        </w:rPr>
      </w:pPr>
      <w:r w:rsidRPr="005A3E8F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:rsidR="005A3E8F" w:rsidRPr="005A3E8F" w:rsidRDefault="005A3E8F" w:rsidP="005A3E8F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</w:p>
    <w:p w:rsidR="005A3E8F" w:rsidRPr="005A3E8F" w:rsidRDefault="005A3E8F" w:rsidP="005A3E8F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  <w:r w:rsidRPr="005A3E8F">
        <w:rPr>
          <w:rFonts w:ascii="Arial Narrow" w:hAnsi="Arial Narrow"/>
        </w:rPr>
        <w:t>Doklady, ktoré sa nepredkladajú:</w:t>
      </w:r>
    </w:p>
    <w:p w:rsidR="005A3E8F" w:rsidRPr="005A3E8F" w:rsidRDefault="005A3E8F" w:rsidP="005A3E8F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A3E8F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:rsidR="005A3E8F" w:rsidRPr="005A3E8F" w:rsidRDefault="005A3E8F" w:rsidP="005A3E8F">
      <w:pPr>
        <w:pStyle w:val="Odsekzoznamu"/>
        <w:widowControl w:val="0"/>
        <w:numPr>
          <w:ilvl w:val="0"/>
          <w:numId w:val="15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A3E8F">
        <w:rPr>
          <w:rFonts w:ascii="Arial Narrow" w:hAnsi="Arial Narrow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:rsidR="005A3E8F" w:rsidRPr="005A3E8F" w:rsidRDefault="005A3E8F" w:rsidP="005A3E8F">
      <w:pPr>
        <w:pStyle w:val="Odsekzoznamu"/>
        <w:widowControl w:val="0"/>
        <w:numPr>
          <w:ilvl w:val="0"/>
          <w:numId w:val="15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A3E8F">
        <w:rPr>
          <w:rFonts w:ascii="Arial Narrow" w:hAnsi="Arial Narrow"/>
          <w:shd w:val="clear" w:color="auto" w:fill="FFFFFF"/>
        </w:rPr>
        <w:t>potvrdenia zdravotnej poisťovne a Sociálnej poisťovne podľa § 32 ods. 1 písm. b) a  ods. 2 písm. b) zákona,</w:t>
      </w:r>
    </w:p>
    <w:p w:rsidR="005A3E8F" w:rsidRPr="005A3E8F" w:rsidRDefault="005A3E8F" w:rsidP="005A3E8F">
      <w:pPr>
        <w:pStyle w:val="Odsekzoznamu"/>
        <w:widowControl w:val="0"/>
        <w:numPr>
          <w:ilvl w:val="0"/>
          <w:numId w:val="15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A3E8F">
        <w:rPr>
          <w:rFonts w:ascii="Arial Narrow" w:hAnsi="Arial Narrow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:rsidR="005A3E8F" w:rsidRPr="005A3E8F" w:rsidRDefault="005A3E8F" w:rsidP="005A3E8F">
      <w:pPr>
        <w:pStyle w:val="Odsekzoznamu"/>
        <w:widowControl w:val="0"/>
        <w:numPr>
          <w:ilvl w:val="0"/>
          <w:numId w:val="15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A3E8F">
        <w:rPr>
          <w:rFonts w:ascii="Arial Narrow" w:hAnsi="Arial Narrow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:rsidR="005A3E8F" w:rsidRPr="005A3E8F" w:rsidRDefault="005A3E8F" w:rsidP="005A3E8F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A3E8F">
        <w:rPr>
          <w:rFonts w:ascii="Arial Narrow" w:hAnsi="Arial Narrow"/>
          <w:shd w:val="clear" w:color="auto" w:fill="FFFFFF"/>
        </w:rPr>
        <w:t>Upozornenie:</w:t>
      </w:r>
    </w:p>
    <w:p w:rsidR="004F43DD" w:rsidRPr="005A3E8F" w:rsidRDefault="005A3E8F" w:rsidP="00451E7F">
      <w:pPr>
        <w:pStyle w:val="Bodytext20"/>
        <w:shd w:val="clear" w:color="auto" w:fill="auto"/>
        <w:ind w:firstLine="0"/>
        <w:jc w:val="both"/>
        <w:rPr>
          <w:rFonts w:ascii="Arial Narrow" w:eastAsia="Times New Roman" w:hAnsi="Arial Narrow" w:cs="Times New Roman"/>
          <w:b/>
          <w:sz w:val="22"/>
          <w:szCs w:val="22"/>
          <w:lang w:eastAsia="sk-SK"/>
        </w:rPr>
      </w:pPr>
      <w:r w:rsidRPr="005A3E8F">
        <w:rPr>
          <w:rFonts w:ascii="Arial Narrow" w:hAnsi="Arial Narrow"/>
          <w:sz w:val="22"/>
          <w:szCs w:val="22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 nasledovné údaje: krstné meno, priezvisko, rodné priezvisko, rodné číslo.</w:t>
      </w:r>
      <w:r w:rsidR="004F43DD" w:rsidRPr="005A3E8F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</w:p>
    <w:p w:rsidR="004F43DD" w:rsidRPr="005A3E8F" w:rsidRDefault="004F43DD" w:rsidP="004F43DD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4F43DD" w:rsidRPr="005A3E8F" w:rsidRDefault="004F43DD" w:rsidP="004F43DD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5A3E8F">
        <w:rPr>
          <w:rFonts w:ascii="Arial Narrow" w:eastAsia="Times New Roman" w:hAnsi="Arial Narrow" w:cs="Times New Roman"/>
          <w:b/>
          <w:u w:val="single"/>
          <w:lang w:eastAsia="sk-SK"/>
        </w:rPr>
        <w:t>Ekonomické a finančné postavenie</w:t>
      </w:r>
    </w:p>
    <w:p w:rsidR="004F43DD" w:rsidRPr="005A3E8F" w:rsidRDefault="004F43DD" w:rsidP="004F43D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5A3E8F">
        <w:rPr>
          <w:rFonts w:ascii="Arial Narrow" w:eastAsia="Times New Roman" w:hAnsi="Arial Narrow" w:cs="Times New Roman"/>
          <w:lang w:eastAsia="sk-SK"/>
        </w:rPr>
        <w:t>Neaplikuje sa</w:t>
      </w:r>
    </w:p>
    <w:p w:rsidR="004F43DD" w:rsidRPr="005A3E8F" w:rsidRDefault="002071DD" w:rsidP="002071DD">
      <w:pPr>
        <w:spacing w:before="300"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5A3E8F">
        <w:rPr>
          <w:rFonts w:ascii="Arial Narrow" w:eastAsia="Times New Roman" w:hAnsi="Arial Narrow" w:cs="Times New Roman"/>
          <w:b/>
          <w:u w:val="single"/>
          <w:lang w:eastAsia="sk-SK"/>
        </w:rPr>
        <w:t>Technická a odborná spôsobilos</w:t>
      </w:r>
      <w:r w:rsidR="00F5277F" w:rsidRPr="005A3E8F">
        <w:rPr>
          <w:rFonts w:ascii="Arial Narrow" w:eastAsia="Times New Roman" w:hAnsi="Arial Narrow" w:cs="Times New Roman"/>
          <w:b/>
          <w:u w:val="single"/>
          <w:lang w:eastAsia="sk-SK"/>
        </w:rPr>
        <w:t>ť</w:t>
      </w:r>
    </w:p>
    <w:p w:rsidR="002071DD" w:rsidRPr="005A3E8F" w:rsidRDefault="002071DD" w:rsidP="002071DD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5A3E8F">
        <w:rPr>
          <w:rFonts w:ascii="Arial Narrow" w:eastAsia="Times New Roman" w:hAnsi="Arial Narrow" w:cs="Times New Roman"/>
          <w:lang w:eastAsia="sk-SK"/>
        </w:rPr>
        <w:t>Neaplikuje sa</w:t>
      </w:r>
    </w:p>
    <w:p w:rsidR="0042412E" w:rsidRPr="005A3E8F" w:rsidRDefault="0042412E">
      <w:pPr>
        <w:rPr>
          <w:rFonts w:ascii="Arial Narrow" w:hAnsi="Arial Narrow"/>
        </w:rPr>
      </w:pPr>
    </w:p>
    <w:sectPr w:rsidR="0042412E" w:rsidRPr="005A3E8F"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BA" w:rsidRDefault="000272BA">
      <w:pPr>
        <w:spacing w:after="0" w:line="240" w:lineRule="auto"/>
      </w:pPr>
      <w:r>
        <w:separator/>
      </w:r>
    </w:p>
  </w:endnote>
  <w:endnote w:type="continuationSeparator" w:id="0">
    <w:p w:rsidR="000272BA" w:rsidRDefault="000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BA" w:rsidRDefault="000272BA">
      <w:pPr>
        <w:spacing w:after="0" w:line="240" w:lineRule="auto"/>
      </w:pPr>
      <w:r>
        <w:separator/>
      </w:r>
    </w:p>
  </w:footnote>
  <w:footnote w:type="continuationSeparator" w:id="0">
    <w:p w:rsidR="000272BA" w:rsidRDefault="000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74" w:rsidRDefault="004F43DD" w:rsidP="00C85524">
    <w:pPr>
      <w:pStyle w:val="Hlavika"/>
      <w:jc w:val="right"/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5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4A7"/>
    <w:multiLevelType w:val="hybridMultilevel"/>
    <w:tmpl w:val="C54A30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3D29"/>
    <w:multiLevelType w:val="hybridMultilevel"/>
    <w:tmpl w:val="2F1828CA"/>
    <w:lvl w:ilvl="0" w:tplc="F57A13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1D8B"/>
    <w:multiLevelType w:val="hybridMultilevel"/>
    <w:tmpl w:val="D84A1C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A588D"/>
    <w:multiLevelType w:val="hybridMultilevel"/>
    <w:tmpl w:val="A61852A0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273AE"/>
    <w:multiLevelType w:val="hybridMultilevel"/>
    <w:tmpl w:val="62E2EE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B2D"/>
    <w:multiLevelType w:val="hybridMultilevel"/>
    <w:tmpl w:val="BFDCCD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A71624"/>
    <w:multiLevelType w:val="hybridMultilevel"/>
    <w:tmpl w:val="93C6A874"/>
    <w:lvl w:ilvl="0" w:tplc="1C7E74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D5F4D"/>
    <w:multiLevelType w:val="hybridMultilevel"/>
    <w:tmpl w:val="AFB43E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71261"/>
    <w:multiLevelType w:val="hybridMultilevel"/>
    <w:tmpl w:val="732CF3A4"/>
    <w:lvl w:ilvl="0" w:tplc="F57A13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52D4D"/>
    <w:multiLevelType w:val="hybridMultilevel"/>
    <w:tmpl w:val="732CF3A4"/>
    <w:lvl w:ilvl="0" w:tplc="F57A13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6055A"/>
    <w:multiLevelType w:val="hybridMultilevel"/>
    <w:tmpl w:val="0AB078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74A30"/>
    <w:multiLevelType w:val="hybridMultilevel"/>
    <w:tmpl w:val="C54A30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95381"/>
    <w:multiLevelType w:val="hybridMultilevel"/>
    <w:tmpl w:val="184EEAA6"/>
    <w:lvl w:ilvl="0" w:tplc="5766521A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A7"/>
    <w:rsid w:val="000272BA"/>
    <w:rsid w:val="002071DD"/>
    <w:rsid w:val="0032553A"/>
    <w:rsid w:val="00362EEC"/>
    <w:rsid w:val="0042412E"/>
    <w:rsid w:val="00451E7F"/>
    <w:rsid w:val="004F43DD"/>
    <w:rsid w:val="005A3E8F"/>
    <w:rsid w:val="008445A6"/>
    <w:rsid w:val="00A3743C"/>
    <w:rsid w:val="00B35333"/>
    <w:rsid w:val="00D358A7"/>
    <w:rsid w:val="00F5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9ED0"/>
  <w15:chartTrackingRefBased/>
  <w15:docId w15:val="{6310D066-0008-471A-A9C8-8E9898B6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43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F43D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F43DD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F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F43DD"/>
  </w:style>
  <w:style w:type="paragraph" w:customStyle="1" w:styleId="Default">
    <w:name w:val="Default"/>
    <w:rsid w:val="004F4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4F43DD"/>
    <w:pPr>
      <w:ind w:left="720"/>
      <w:contextualSpacing/>
    </w:pPr>
  </w:style>
  <w:style w:type="character" w:customStyle="1" w:styleId="Bodytext2">
    <w:name w:val="Body text (2)_"/>
    <w:basedOn w:val="Predvolenpsmoodseku"/>
    <w:link w:val="Bodytext20"/>
    <w:rsid w:val="004F43DD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4F43DD"/>
    <w:pPr>
      <w:widowControl w:val="0"/>
      <w:shd w:val="clear" w:color="auto" w:fill="FFFFFF"/>
      <w:spacing w:after="0" w:line="240" w:lineRule="exact"/>
      <w:ind w:hanging="540"/>
    </w:pPr>
    <w:rPr>
      <w:rFonts w:ascii="Tahoma" w:eastAsia="Tahoma" w:hAnsi="Tahoma" w:cs="Tahoma"/>
      <w:sz w:val="18"/>
      <w:szCs w:val="18"/>
    </w:rPr>
  </w:style>
  <w:style w:type="paragraph" w:customStyle="1" w:styleId="wazzatext">
    <w:name w:val="wazza_text"/>
    <w:basedOn w:val="Normlny"/>
    <w:qFormat/>
    <w:rsid w:val="004F43DD"/>
    <w:pPr>
      <w:numPr>
        <w:numId w:val="8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F43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basedOn w:val="Predvolenpsmoodseku"/>
    <w:link w:val="Odsekzoznamu"/>
    <w:uiPriority w:val="34"/>
    <w:locked/>
    <w:rsid w:val="004F43DD"/>
  </w:style>
  <w:style w:type="paragraph" w:styleId="Textbubliny">
    <w:name w:val="Balloon Text"/>
    <w:basedOn w:val="Normlny"/>
    <w:link w:val="TextbublinyChar"/>
    <w:uiPriority w:val="99"/>
    <w:semiHidden/>
    <w:unhideWhenUsed/>
    <w:rsid w:val="00F52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77F"/>
    <w:rPr>
      <w:rFonts w:ascii="Segoe UI" w:hAnsi="Segoe UI" w:cs="Segoe UI"/>
      <w:sz w:val="18"/>
      <w:szCs w:val="18"/>
    </w:rPr>
  </w:style>
  <w:style w:type="character" w:styleId="Jemnzvraznenie">
    <w:name w:val="Subtle Emphasis"/>
    <w:aliases w:val="klasika"/>
    <w:uiPriority w:val="19"/>
    <w:qFormat/>
    <w:rsid w:val="005A3E8F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5A3E8F"/>
    <w:pPr>
      <w:spacing w:after="120"/>
    </w:pPr>
    <w:rPr>
      <w:rFonts w:ascii="Calibri" w:eastAsia="Times New Roman" w:hAnsi="Calibri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A3E8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3</cp:revision>
  <dcterms:created xsi:type="dcterms:W3CDTF">2019-11-06T09:34:00Z</dcterms:created>
  <dcterms:modified xsi:type="dcterms:W3CDTF">2020-01-16T08:39:00Z</dcterms:modified>
</cp:coreProperties>
</file>