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F8" w:rsidRPr="00AA43A5" w:rsidRDefault="00E07FF8" w:rsidP="00E07FF8">
      <w:pPr>
        <w:widowControl w:val="0"/>
        <w:autoSpaceDE w:val="0"/>
        <w:autoSpaceDN w:val="0"/>
        <w:adjustRightInd w:val="0"/>
        <w:ind w:left="5664"/>
        <w:jc w:val="both"/>
        <w:rPr>
          <w:rFonts w:ascii="Arial Narrow" w:hAnsi="Arial Narrow" w:cs="Arial Narrow"/>
          <w:sz w:val="24"/>
          <w:szCs w:val="24"/>
        </w:rPr>
      </w:pPr>
      <w:r w:rsidRPr="00AA43A5">
        <w:rPr>
          <w:rFonts w:ascii="Arial Narrow" w:hAnsi="Arial Narrow" w:cs="Arial Narrow"/>
          <w:sz w:val="24"/>
          <w:szCs w:val="24"/>
        </w:rPr>
        <w:t>Príloha č.5 súťažných podkladov</w:t>
      </w:r>
    </w:p>
    <w:p w:rsidR="00E07FF8" w:rsidRPr="00AA43A5" w:rsidRDefault="00E07FF8" w:rsidP="00E07FF8">
      <w:pPr>
        <w:tabs>
          <w:tab w:val="num" w:pos="1080"/>
          <w:tab w:val="left" w:leader="dot" w:pos="10034"/>
        </w:tabs>
        <w:spacing w:before="120"/>
        <w:jc w:val="right"/>
        <w:rPr>
          <w:rFonts w:ascii="Arial Narrow" w:hAnsi="Arial Narrow" w:cs="Arial"/>
          <w:sz w:val="22"/>
        </w:rPr>
      </w:pPr>
      <w:r w:rsidRPr="00AA43A5">
        <w:rPr>
          <w:rFonts w:ascii="Arial Narrow" w:hAnsi="Arial Narrow" w:cs="Arial Narrow"/>
          <w:sz w:val="24"/>
          <w:szCs w:val="24"/>
        </w:rPr>
        <w:tab/>
      </w: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07FF8" w:rsidRPr="00AA43A5" w:rsidTr="008C392B">
        <w:trPr>
          <w:trHeight w:val="2700"/>
        </w:trPr>
        <w:tc>
          <w:tcPr>
            <w:tcW w:w="9073" w:type="dxa"/>
          </w:tcPr>
          <w:p w:rsidR="00E07FF8" w:rsidRPr="00AA43A5" w:rsidRDefault="00E07FF8" w:rsidP="008C392B">
            <w:pPr>
              <w:widowControl w:val="0"/>
              <w:autoSpaceDE w:val="0"/>
              <w:autoSpaceDN w:val="0"/>
              <w:adjustRightInd w:val="0"/>
              <w:jc w:val="both"/>
              <w:rPr>
                <w:rFonts w:ascii="Arial Narrow" w:hAnsi="Arial Narrow" w:cs="Arial"/>
                <w:sz w:val="22"/>
              </w:rPr>
            </w:pPr>
          </w:p>
          <w:p w:rsidR="00E07FF8" w:rsidRPr="00AA43A5" w:rsidRDefault="00E07FF8" w:rsidP="008C392B">
            <w:pPr>
              <w:widowControl w:val="0"/>
              <w:autoSpaceDE w:val="0"/>
              <w:autoSpaceDN w:val="0"/>
              <w:adjustRightInd w:val="0"/>
              <w:jc w:val="both"/>
              <w:rPr>
                <w:rFonts w:ascii="Arial Narrow" w:hAnsi="Arial Narrow" w:cs="Arial"/>
                <w:sz w:val="22"/>
              </w:rPr>
            </w:pPr>
          </w:p>
          <w:p w:rsidR="00E07FF8" w:rsidRPr="00AA43A5" w:rsidRDefault="00E07FF8" w:rsidP="008C392B">
            <w:pPr>
              <w:widowControl w:val="0"/>
              <w:autoSpaceDE w:val="0"/>
              <w:autoSpaceDN w:val="0"/>
              <w:adjustRightInd w:val="0"/>
              <w:jc w:val="center"/>
              <w:rPr>
                <w:rFonts w:ascii="Arial Narrow" w:hAnsi="Arial Narrow" w:cs="Arial"/>
                <w:sz w:val="22"/>
              </w:rPr>
            </w:pPr>
            <w:bookmarkStart w:id="0" w:name="_GoBack"/>
            <w:r w:rsidRPr="00AA43A5">
              <w:rPr>
                <w:rFonts w:ascii="Arial Narrow" w:hAnsi="Arial Narrow" w:cs="Arial"/>
                <w:b/>
                <w:smallCaps/>
                <w:sz w:val="22"/>
              </w:rPr>
              <w:t>Podmienky účasti</w:t>
            </w:r>
          </w:p>
          <w:bookmarkEnd w:id="0"/>
          <w:p w:rsidR="00E07FF8" w:rsidRPr="00AA43A5" w:rsidRDefault="00E07FF8" w:rsidP="008C392B">
            <w:pPr>
              <w:spacing w:before="120"/>
              <w:jc w:val="center"/>
              <w:rPr>
                <w:rFonts w:ascii="Arial Narrow" w:hAnsi="Arial Narrow" w:cs="Arial"/>
                <w:sz w:val="22"/>
              </w:rPr>
            </w:pPr>
          </w:p>
        </w:tc>
      </w:tr>
    </w:tbl>
    <w:p w:rsidR="00E07FF8"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pStyle w:val="Nadpis2"/>
        <w:numPr>
          <w:ilvl w:val="0"/>
          <w:numId w:val="0"/>
        </w:numPr>
        <w:ind w:left="360"/>
      </w:pPr>
      <w:r>
        <w:rPr>
          <w:rFonts w:cs="Arial"/>
        </w:rPr>
        <w:br w:type="page"/>
      </w:r>
    </w:p>
    <w:p w:rsidR="00E07FF8" w:rsidRPr="00AA43A5" w:rsidRDefault="00E07FF8" w:rsidP="00E07FF8">
      <w:pPr>
        <w:rPr>
          <w:rFonts w:ascii="Arial Narrow" w:hAnsi="Arial Narrow"/>
          <w:b/>
          <w:sz w:val="22"/>
        </w:rPr>
      </w:pPr>
      <w:r w:rsidRPr="00AA43A5">
        <w:rPr>
          <w:rFonts w:ascii="Arial Narrow" w:hAnsi="Arial Narrow"/>
          <w:b/>
          <w:sz w:val="22"/>
        </w:rPr>
        <w:lastRenderedPageBreak/>
        <w:t xml:space="preserve">1. Osobné postavenie podľa § 32 </w:t>
      </w:r>
      <w:r w:rsidRPr="00AA43A5">
        <w:rPr>
          <w:rFonts w:ascii="Arial Narrow" w:hAnsi="Arial Narrow" w:cs="Tahoma"/>
          <w:b/>
          <w:sz w:val="22"/>
        </w:rPr>
        <w:t xml:space="preserve">ods. 1 </w:t>
      </w:r>
      <w:r w:rsidRPr="00AA43A5">
        <w:rPr>
          <w:rFonts w:ascii="Arial Narrow" w:hAnsi="Arial Narrow" w:cs="Tahoma"/>
          <w:sz w:val="22"/>
        </w:rPr>
        <w:t>zákona č. 343/2015 Z. z. o verejnom obstarávaní a o zmene a doplnení niektorých zákonov v znení neskorších predpisov (ďalej len „zákon“)</w:t>
      </w:r>
      <w:r w:rsidRPr="00AA43A5">
        <w:rPr>
          <w:rFonts w:ascii="Arial Narrow" w:hAnsi="Arial Narrow"/>
          <w:b/>
          <w:sz w:val="22"/>
        </w:rPr>
        <w:t xml:space="preserve"> </w:t>
      </w:r>
    </w:p>
    <w:p w:rsidR="00E07FF8" w:rsidRPr="00AA43A5" w:rsidRDefault="00E07FF8" w:rsidP="00E07FF8">
      <w:pPr>
        <w:autoSpaceDE w:val="0"/>
        <w:autoSpaceDN w:val="0"/>
        <w:adjustRightInd w:val="0"/>
        <w:spacing w:after="0" w:line="240" w:lineRule="auto"/>
        <w:ind w:left="567"/>
        <w:jc w:val="both"/>
        <w:rPr>
          <w:rFonts w:ascii="Arial Narrow" w:hAnsi="Arial Narrow" w:cs="Tahoma"/>
          <w:sz w:val="22"/>
        </w:rPr>
      </w:pPr>
      <w:r w:rsidRPr="00AA43A5">
        <w:rPr>
          <w:rFonts w:ascii="Arial Narrow" w:hAnsi="Arial Narrow" w:cs="Tahoma"/>
          <w:sz w:val="22"/>
        </w:rPr>
        <w:t>Zoznam a krátky opis podmienok: 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Uchádzač preukáže splnenie podmienok účasti týkajúcich sa osobného postavenia podľa § 32 ods. 1 zákona, dokladmi podľa § 32 ods. 2, resp. podľa § 32 ods. 4 a 5 zákona.</w:t>
      </w:r>
    </w:p>
    <w:p w:rsidR="00E07FF8" w:rsidRPr="00AA43A5" w:rsidRDefault="00E07FF8" w:rsidP="00E07FF8">
      <w:pPr>
        <w:autoSpaceDE w:val="0"/>
        <w:autoSpaceDN w:val="0"/>
        <w:adjustRightInd w:val="0"/>
        <w:spacing w:after="0" w:line="240" w:lineRule="auto"/>
        <w:ind w:left="567"/>
        <w:jc w:val="both"/>
        <w:rPr>
          <w:rFonts w:ascii="Arial Narrow" w:hAnsi="Arial Narrow" w:cs="Tahoma"/>
          <w:sz w:val="22"/>
        </w:rPr>
      </w:pPr>
      <w:r w:rsidRPr="00AA43A5">
        <w:rPr>
          <w:rFonts w:ascii="Arial Narrow" w:hAnsi="Arial Narrow" w:cs="Tahoma"/>
          <w:sz w:val="22"/>
        </w:rPr>
        <w:t>Súčasne sa požaduje trestná bezúhonnosť právnickej osoby, podľa zákona č. 91/2016 Z. z. o trestnej zodpovednosti právnických osôb a o zmene a doplnení niektorých zákonov.</w:t>
      </w:r>
    </w:p>
    <w:p w:rsidR="00E07FF8" w:rsidRPr="00AA43A5" w:rsidRDefault="00E07FF8" w:rsidP="00E07FF8">
      <w:pPr>
        <w:autoSpaceDE w:val="0"/>
        <w:autoSpaceDN w:val="0"/>
        <w:adjustRightInd w:val="0"/>
        <w:spacing w:after="0" w:line="240" w:lineRule="auto"/>
        <w:ind w:left="567"/>
        <w:jc w:val="both"/>
        <w:rPr>
          <w:rFonts w:ascii="Arial Narrow" w:hAnsi="Arial Narrow" w:cs="Tahoma"/>
          <w:sz w:val="22"/>
        </w:rPr>
      </w:pPr>
      <w:r w:rsidRPr="00AA43A5">
        <w:rPr>
          <w:rFonts w:ascii="Arial Narrow" w:hAnsi="Arial Narrow" w:cs="Tahoma"/>
          <w:sz w:val="22"/>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rsidR="00E07FF8" w:rsidRPr="00AA43A5" w:rsidRDefault="00E07FF8" w:rsidP="00E07FF8">
      <w:pPr>
        <w:autoSpaceDE w:val="0"/>
        <w:autoSpaceDN w:val="0"/>
        <w:adjustRightInd w:val="0"/>
        <w:spacing w:after="0" w:line="240" w:lineRule="auto"/>
        <w:ind w:left="567"/>
        <w:jc w:val="both"/>
        <w:rPr>
          <w:rFonts w:ascii="Arial Narrow" w:hAnsi="Arial Narrow" w:cs="Tahoma"/>
          <w:sz w:val="22"/>
        </w:rPr>
      </w:pPr>
      <w:r w:rsidRPr="00AA43A5">
        <w:rPr>
          <w:rFonts w:ascii="Arial Narrow" w:hAnsi="Arial Narrow" w:cs="Tahoma"/>
          <w:sz w:val="22"/>
        </w:rPr>
        <w:t>Uchádzač zapísaný v zozname hospodárskych subjektov podľa zákona nie je povinný v procese verejného obstarávania predkladať doklady podľa § 32 ods. 2 zákona.</w:t>
      </w:r>
    </w:p>
    <w:p w:rsidR="00E07FF8" w:rsidRPr="00AA43A5" w:rsidRDefault="00E07FF8" w:rsidP="00E07FF8">
      <w:pPr>
        <w:autoSpaceDE w:val="0"/>
        <w:autoSpaceDN w:val="0"/>
        <w:adjustRightInd w:val="0"/>
        <w:spacing w:after="0" w:line="240" w:lineRule="auto"/>
        <w:ind w:left="567"/>
        <w:jc w:val="both"/>
        <w:rPr>
          <w:rFonts w:ascii="Arial Narrow" w:hAnsi="Arial Narrow" w:cs="Tahoma"/>
          <w:sz w:val="22"/>
        </w:rPr>
      </w:pPr>
      <w:r w:rsidRPr="00AA43A5">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E07FF8" w:rsidRPr="00AA43A5" w:rsidRDefault="00E07FF8" w:rsidP="00E07FF8">
      <w:pPr>
        <w:autoSpaceDE w:val="0"/>
        <w:autoSpaceDN w:val="0"/>
        <w:adjustRightInd w:val="0"/>
        <w:spacing w:after="0" w:line="240" w:lineRule="auto"/>
        <w:ind w:left="567"/>
        <w:jc w:val="both"/>
        <w:rPr>
          <w:rFonts w:ascii="Arial Narrow" w:hAnsi="Arial Narrow" w:cs="Tahoma"/>
          <w:sz w:val="22"/>
        </w:rPr>
      </w:pPr>
      <w:r w:rsidRPr="00AA43A5">
        <w:rPr>
          <w:rFonts w:ascii="Arial Narrow" w:hAnsi="Arial Narrow" w:cs="Tahoma"/>
          <w:sz w:val="22"/>
        </w:rPr>
        <w:t xml:space="preserve">V prípade, </w:t>
      </w:r>
      <w:r w:rsidRPr="00AA43A5">
        <w:rPr>
          <w:rFonts w:ascii="Arial Narrow" w:hAnsi="Arial Narrow" w:cs="Tahoma"/>
          <w:sz w:val="22"/>
          <w:lang w:eastAsia="sk-SK"/>
        </w:rPr>
        <w:t>že sa verejného obstarávania zúčastní skupina dodávateľov, požaduje sa preukázanie splnenia podmienok</w:t>
      </w:r>
      <w:r w:rsidRPr="00AA43A5">
        <w:rPr>
          <w:rFonts w:ascii="Arial Narrow" w:hAnsi="Arial Narrow" w:cs="Tahoma"/>
          <w:sz w:val="22"/>
        </w:rPr>
        <w:t xml:space="preserve"> </w:t>
      </w:r>
      <w:r w:rsidRPr="00AA43A5">
        <w:rPr>
          <w:rFonts w:ascii="Arial Narrow" w:hAnsi="Arial Narrow" w:cs="Tahoma"/>
          <w:sz w:val="22"/>
          <w:lang w:eastAsia="sk-SK"/>
        </w:rPr>
        <w:t>účasti týkajúcich sa osobného postavenia za každého člena skupiny osobitne. Splnenie podmienky účasti podľa § 32 ods.</w:t>
      </w:r>
      <w:r w:rsidRPr="00AA43A5">
        <w:rPr>
          <w:rFonts w:ascii="Arial Narrow" w:hAnsi="Arial Narrow" w:cs="Tahoma"/>
          <w:sz w:val="22"/>
        </w:rPr>
        <w:t xml:space="preserve"> </w:t>
      </w:r>
      <w:r w:rsidRPr="00AA43A5">
        <w:rPr>
          <w:rFonts w:ascii="Arial Narrow" w:hAnsi="Arial Narrow" w:cs="Tahoma"/>
          <w:sz w:val="22"/>
          <w:lang w:eastAsia="sk-SK"/>
        </w:rPr>
        <w:t>1 písm. e) zákona preukazuje člen skupiny len vo vzťahu k tej časti predmetu zákazky, ktorú má zabezpečiť.</w:t>
      </w:r>
    </w:p>
    <w:p w:rsidR="00E07FF8" w:rsidRDefault="00E07FF8" w:rsidP="00E07FF8">
      <w:pPr>
        <w:autoSpaceDE w:val="0"/>
        <w:autoSpaceDN w:val="0"/>
        <w:adjustRightInd w:val="0"/>
        <w:spacing w:after="0" w:line="240" w:lineRule="auto"/>
        <w:ind w:left="567"/>
        <w:jc w:val="both"/>
        <w:rPr>
          <w:rFonts w:ascii="Arial Narrow" w:hAnsi="Arial Narrow" w:cs="Tahoma"/>
          <w:sz w:val="22"/>
          <w:lang w:eastAsia="sk-SK"/>
        </w:rPr>
      </w:pPr>
    </w:p>
    <w:p w:rsidR="00E07FF8" w:rsidRPr="00AA43A5" w:rsidRDefault="00E07FF8" w:rsidP="00E07FF8">
      <w:pPr>
        <w:autoSpaceDE w:val="0"/>
        <w:autoSpaceDN w:val="0"/>
        <w:adjustRightInd w:val="0"/>
        <w:spacing w:after="0" w:line="240" w:lineRule="auto"/>
        <w:ind w:left="567"/>
        <w:jc w:val="both"/>
        <w:rPr>
          <w:rFonts w:ascii="Arial Narrow" w:hAnsi="Arial Narrow" w:cs="Tahoma"/>
          <w:sz w:val="22"/>
        </w:rPr>
      </w:pPr>
      <w:r w:rsidRPr="00AA43A5">
        <w:rPr>
          <w:rFonts w:ascii="Arial Narrow" w:hAnsi="Arial Narrow" w:cs="Tahoma"/>
          <w:sz w:val="22"/>
          <w:lang w:eastAsia="sk-SK"/>
        </w:rPr>
        <w:t>Doklady, ktoré sa nepredkladajú:</w:t>
      </w:r>
    </w:p>
    <w:p w:rsidR="00E07FF8" w:rsidRPr="00AA43A5" w:rsidRDefault="00E07FF8" w:rsidP="00E07FF8">
      <w:pPr>
        <w:autoSpaceDE w:val="0"/>
        <w:autoSpaceDN w:val="0"/>
        <w:adjustRightInd w:val="0"/>
        <w:spacing w:after="0" w:line="240" w:lineRule="auto"/>
        <w:ind w:left="567"/>
        <w:jc w:val="both"/>
        <w:rPr>
          <w:rFonts w:ascii="Arial Narrow" w:hAnsi="Arial Narrow" w:cs="Tahoma"/>
          <w:sz w:val="22"/>
          <w:lang w:eastAsia="sk-SK"/>
        </w:rPr>
      </w:pPr>
      <w:r w:rsidRPr="00AA43A5">
        <w:rPr>
          <w:rFonts w:ascii="Arial Narrow" w:hAnsi="Arial Narrow" w:cs="Tahoma"/>
          <w:sz w:val="22"/>
          <w:lang w:eastAsia="sk-SK"/>
        </w:rPr>
        <w:t xml:space="preserve">1. V prípade preukázania splnenia podmienky účasti týkajúcej sa osobného postavenia podľa § 32 ods. </w:t>
      </w:r>
      <w:r w:rsidRPr="00AA43A5">
        <w:rPr>
          <w:rFonts w:ascii="Arial Narrow" w:hAnsi="Arial Narrow" w:cs="Tahoma"/>
          <w:sz w:val="22"/>
          <w:lang w:eastAsia="sk-SK"/>
        </w:rPr>
        <w:tab/>
        <w:t xml:space="preserve">1 písm. e) zákona výpisom z Obchodného registra Slovenskej republiky alebo výpisom zo </w:t>
      </w:r>
      <w:r w:rsidRPr="00AA43A5">
        <w:rPr>
          <w:rFonts w:ascii="Arial Narrow" w:hAnsi="Arial Narrow" w:cs="Tahoma"/>
          <w:sz w:val="22"/>
          <w:lang w:eastAsia="sk-SK"/>
        </w:rPr>
        <w:tab/>
        <w:t xml:space="preserve">Živnostenského registra Slovenskej republiky, záujemca/uchádzač nie je povinný v zmysle § 32 ods. 3 </w:t>
      </w:r>
      <w:r w:rsidRPr="00AA43A5">
        <w:rPr>
          <w:rFonts w:ascii="Arial Narrow" w:hAnsi="Arial Narrow" w:cs="Tahoma"/>
          <w:sz w:val="22"/>
          <w:lang w:eastAsia="sk-SK"/>
        </w:rPr>
        <w:tab/>
        <w:t xml:space="preserve">zákona tieto doklady predkladať verejnému obstarávateľovi, a to z dôvodu použitia údajov z </w:t>
      </w:r>
      <w:r w:rsidRPr="00AA43A5">
        <w:rPr>
          <w:rFonts w:ascii="Arial Narrow" w:hAnsi="Arial Narrow" w:cs="Tahoma"/>
          <w:sz w:val="22"/>
          <w:lang w:eastAsia="sk-SK"/>
        </w:rPr>
        <w:tab/>
        <w:t xml:space="preserve">informačných systémov verejnej </w:t>
      </w:r>
      <w:proofErr w:type="spellStart"/>
      <w:r w:rsidRPr="00AA43A5">
        <w:rPr>
          <w:rFonts w:ascii="Arial Narrow" w:hAnsi="Arial Narrow" w:cs="Tahoma"/>
          <w:sz w:val="22"/>
          <w:lang w:eastAsia="sk-SK"/>
        </w:rPr>
        <w:t>právy</w:t>
      </w:r>
      <w:proofErr w:type="spellEnd"/>
      <w:r w:rsidRPr="00AA43A5">
        <w:rPr>
          <w:rFonts w:ascii="Arial Narrow" w:hAnsi="Arial Narrow" w:cs="Tahoma"/>
          <w:sz w:val="22"/>
          <w:lang w:eastAsia="sk-SK"/>
        </w:rPr>
        <w:t>.</w:t>
      </w:r>
    </w:p>
    <w:p w:rsidR="00E07FF8" w:rsidRPr="00AA43A5" w:rsidRDefault="00E07FF8" w:rsidP="00E07FF8">
      <w:pPr>
        <w:autoSpaceDE w:val="0"/>
        <w:autoSpaceDN w:val="0"/>
        <w:adjustRightInd w:val="0"/>
        <w:spacing w:after="0" w:line="240" w:lineRule="auto"/>
        <w:jc w:val="both"/>
        <w:rPr>
          <w:rFonts w:ascii="Arial Narrow" w:hAnsi="Arial Narrow" w:cs="Tahoma"/>
          <w:sz w:val="22"/>
          <w:lang w:eastAsia="sk-SK"/>
        </w:rPr>
      </w:pPr>
    </w:p>
    <w:p w:rsidR="00E07FF8" w:rsidRPr="00AA43A5" w:rsidRDefault="00E07FF8" w:rsidP="00E07FF8">
      <w:pPr>
        <w:autoSpaceDE w:val="0"/>
        <w:autoSpaceDN w:val="0"/>
        <w:adjustRightInd w:val="0"/>
        <w:spacing w:after="0" w:line="240" w:lineRule="auto"/>
        <w:jc w:val="both"/>
        <w:rPr>
          <w:rFonts w:ascii="Arial Narrow" w:hAnsi="Arial Narrow" w:cs="Tahoma"/>
          <w:sz w:val="22"/>
          <w:lang w:eastAsia="sk-SK"/>
        </w:rPr>
      </w:pPr>
      <w:r w:rsidRPr="00AA43A5">
        <w:rPr>
          <w:rFonts w:ascii="Arial Narrow" w:hAnsi="Arial Narrow" w:cs="Tahoma"/>
          <w:sz w:val="22"/>
          <w:lang w:eastAsia="sk-SK"/>
        </w:rPr>
        <w:tab/>
        <w:t xml:space="preserve">2. S ohľadom na to, že z technických dôvodov nie je možné získať údaje alebo výpisy z informačných </w:t>
      </w:r>
      <w:r w:rsidRPr="00AA43A5">
        <w:rPr>
          <w:rFonts w:ascii="Arial Narrow" w:hAnsi="Arial Narrow" w:cs="Tahoma"/>
          <w:sz w:val="22"/>
          <w:lang w:eastAsia="sk-SK"/>
        </w:rPr>
        <w:tab/>
        <w:t xml:space="preserve">systémov Generálnej prokuratúry, predkladá uchádzač alebo záujemca doklady podľa § 32 ods. 1 a) </w:t>
      </w:r>
      <w:r w:rsidRPr="00AA43A5">
        <w:rPr>
          <w:rFonts w:ascii="Arial Narrow" w:hAnsi="Arial Narrow" w:cs="Tahoma"/>
          <w:sz w:val="22"/>
          <w:lang w:eastAsia="sk-SK"/>
        </w:rPr>
        <w:tab/>
        <w:t>zákona v listinnej podobe a to v súlade s ustanovením § 1 ods. 6 zákona č. 177/2018 Z. z. o niektorých</w:t>
      </w:r>
    </w:p>
    <w:p w:rsidR="00E07FF8" w:rsidRPr="00AA43A5" w:rsidRDefault="00E07FF8" w:rsidP="00E07FF8">
      <w:pPr>
        <w:autoSpaceDE w:val="0"/>
        <w:autoSpaceDN w:val="0"/>
        <w:adjustRightInd w:val="0"/>
        <w:spacing w:after="0" w:line="240" w:lineRule="auto"/>
        <w:ind w:left="708"/>
        <w:jc w:val="both"/>
        <w:rPr>
          <w:rFonts w:ascii="Arial Narrow" w:hAnsi="Arial Narrow" w:cs="Tahoma"/>
          <w:sz w:val="22"/>
          <w:lang w:eastAsia="sk-SK"/>
        </w:rPr>
      </w:pPr>
      <w:r w:rsidRPr="00AA43A5">
        <w:rPr>
          <w:rFonts w:ascii="Arial Narrow" w:hAnsi="Arial Narrow" w:cs="Tahoma"/>
          <w:sz w:val="22"/>
          <w:lang w:eastAsia="sk-SK"/>
        </w:rPr>
        <w:t>opatreniach na znižovanie administratívnej záťaže využívaním informačných systémov verejnej správy a o zmene a doplnení niektorých zákonov (zákon proti byrokracii). Ak je uchádzač zapísaný v zozname hospodárskych subjektov, vedený úradom pre verejné obstarávanie, doklad podľa § 32 ods. 1 a) zákona sa nevyžaduje.</w:t>
      </w:r>
    </w:p>
    <w:p w:rsidR="00E07FF8" w:rsidRPr="00AA43A5" w:rsidRDefault="00E07FF8" w:rsidP="00E07FF8">
      <w:pPr>
        <w:spacing w:after="0" w:line="240" w:lineRule="auto"/>
        <w:jc w:val="both"/>
        <w:rPr>
          <w:rFonts w:ascii="Arial Narrow" w:hAnsi="Arial Narrow"/>
          <w:sz w:val="22"/>
        </w:rPr>
      </w:pPr>
    </w:p>
    <w:p w:rsidR="00E07FF8" w:rsidRPr="00AA43A5" w:rsidRDefault="00E07FF8" w:rsidP="00E07FF8">
      <w:pPr>
        <w:rPr>
          <w:rFonts w:ascii="Arial Narrow" w:hAnsi="Arial Narrow"/>
          <w:b/>
          <w:sz w:val="22"/>
        </w:rPr>
      </w:pPr>
      <w:r w:rsidRPr="00AA43A5">
        <w:rPr>
          <w:rFonts w:ascii="Arial Narrow" w:hAnsi="Arial Narrow"/>
          <w:b/>
          <w:sz w:val="22"/>
        </w:rPr>
        <w:t>3. Technická a odborná spôsobilosť podľa § 34 zákona</w:t>
      </w:r>
    </w:p>
    <w:p w:rsidR="00E07FF8" w:rsidRPr="00AA43A5" w:rsidRDefault="00E07FF8" w:rsidP="00E07FF8">
      <w:pPr>
        <w:rPr>
          <w:rFonts w:ascii="Arial Narrow" w:hAnsi="Arial Narrow"/>
          <w:sz w:val="22"/>
        </w:rPr>
      </w:pPr>
      <w:r w:rsidRPr="00AA43A5">
        <w:rPr>
          <w:rFonts w:ascii="Arial Narrow" w:hAnsi="Arial Narrow"/>
          <w:sz w:val="22"/>
        </w:rPr>
        <w:t xml:space="preserve">Podmienky účasti uchádzačov vo verejnom obstarávaní týkajúce sa technickej spôsobilosti a odbornej   spôsobilosti podľa § 34 zákona. </w:t>
      </w:r>
    </w:p>
    <w:p w:rsidR="00E07FF8" w:rsidRPr="00AA43A5" w:rsidRDefault="00E07FF8" w:rsidP="00E07FF8">
      <w:pPr>
        <w:spacing w:after="0" w:line="240" w:lineRule="auto"/>
        <w:jc w:val="both"/>
        <w:rPr>
          <w:rFonts w:ascii="Arial Narrow" w:hAnsi="Arial Narrow"/>
          <w:b/>
          <w:sz w:val="22"/>
        </w:rPr>
      </w:pPr>
      <w:r w:rsidRPr="00AA43A5">
        <w:rPr>
          <w:rFonts w:ascii="Arial Narrow" w:hAnsi="Arial Narrow"/>
          <w:b/>
          <w:sz w:val="22"/>
        </w:rPr>
        <w:t xml:space="preserve">Uchádzač preukazuje technickú spôsobilosť a odbornú spôsobilosť: </w:t>
      </w:r>
    </w:p>
    <w:p w:rsidR="00E07FF8" w:rsidRPr="00AA43A5" w:rsidRDefault="00E07FF8" w:rsidP="00E07FF8">
      <w:pPr>
        <w:spacing w:after="0" w:line="240" w:lineRule="auto"/>
        <w:ind w:left="567"/>
        <w:jc w:val="both"/>
        <w:rPr>
          <w:rFonts w:ascii="Arial Narrow" w:hAnsi="Arial Narrow"/>
          <w:b/>
          <w:sz w:val="22"/>
        </w:rPr>
      </w:pPr>
    </w:p>
    <w:p w:rsidR="00E07FF8" w:rsidRPr="008C282C" w:rsidRDefault="00E07FF8" w:rsidP="00E07FF8">
      <w:pPr>
        <w:spacing w:after="0" w:line="240" w:lineRule="auto"/>
        <w:jc w:val="both"/>
        <w:rPr>
          <w:rFonts w:ascii="Arial Narrow" w:hAnsi="Arial Narrow" w:cs="Tahoma"/>
          <w:sz w:val="22"/>
        </w:rPr>
      </w:pPr>
    </w:p>
    <w:p w:rsidR="00E07FF8" w:rsidRPr="008C282C" w:rsidRDefault="00E07FF8" w:rsidP="00E07FF8">
      <w:pPr>
        <w:spacing w:after="0" w:line="240" w:lineRule="auto"/>
        <w:jc w:val="both"/>
        <w:rPr>
          <w:rFonts w:ascii="Arial Narrow" w:eastAsia="Times New Roman" w:hAnsi="Arial Narrow"/>
          <w:b/>
          <w:sz w:val="22"/>
          <w:lang w:eastAsia="sk-SK"/>
        </w:rPr>
      </w:pPr>
    </w:p>
    <w:p w:rsidR="00E07FF8" w:rsidRPr="001E1758" w:rsidRDefault="00E07FF8" w:rsidP="00E07FF8">
      <w:pPr>
        <w:spacing w:after="0" w:line="240" w:lineRule="auto"/>
        <w:rPr>
          <w:rFonts w:ascii="Arial Narrow" w:eastAsia="Times New Roman" w:hAnsi="Arial Narrow"/>
          <w:sz w:val="22"/>
          <w:lang w:eastAsia="sk-SK"/>
        </w:rPr>
      </w:pPr>
      <w:r w:rsidRPr="001E1758">
        <w:rPr>
          <w:rFonts w:ascii="Arial Narrow" w:eastAsia="Times New Roman" w:hAnsi="Arial Narrow"/>
          <w:sz w:val="22"/>
          <w:lang w:eastAsia="sk-SK"/>
        </w:rPr>
        <w:t>3.</w:t>
      </w:r>
      <w:r>
        <w:rPr>
          <w:rFonts w:ascii="Arial Narrow" w:eastAsia="Times New Roman" w:hAnsi="Arial Narrow"/>
          <w:sz w:val="22"/>
          <w:lang w:eastAsia="sk-SK"/>
        </w:rPr>
        <w:t>1</w:t>
      </w:r>
      <w:r w:rsidRPr="001E1758">
        <w:rPr>
          <w:rFonts w:ascii="Arial Narrow" w:eastAsia="Times New Roman" w:hAnsi="Arial Narrow"/>
          <w:sz w:val="22"/>
          <w:lang w:eastAsia="sk-SK"/>
        </w:rPr>
        <w:t>§ 34 ods.1 písm. d) v nadväznosti na § 35 zákona o verejnom obstarávaní - uvedenie opatrení použitých záujemcom na zabezpečenie kvality</w:t>
      </w:r>
      <w:r w:rsidRPr="001E1758">
        <w:rPr>
          <w:rFonts w:ascii="Arial Narrow" w:eastAsia="Times New Roman" w:hAnsi="Arial Narrow"/>
          <w:sz w:val="22"/>
          <w:lang w:eastAsia="sk-SK"/>
        </w:rPr>
        <w:br/>
      </w:r>
    </w:p>
    <w:p w:rsidR="00E07FF8" w:rsidRPr="001E1758" w:rsidRDefault="00E07FF8" w:rsidP="00E07FF8">
      <w:pPr>
        <w:spacing w:after="0" w:line="240" w:lineRule="auto"/>
        <w:jc w:val="both"/>
        <w:rPr>
          <w:rFonts w:ascii="Arial Narrow" w:eastAsia="Times New Roman" w:hAnsi="Arial Narrow"/>
          <w:sz w:val="22"/>
          <w:lang w:eastAsia="sk-SK"/>
        </w:rPr>
      </w:pPr>
      <w:r w:rsidRPr="001E1758">
        <w:rPr>
          <w:rFonts w:ascii="Arial Narrow" w:eastAsia="Times New Roman" w:hAnsi="Arial Narrow"/>
          <w:sz w:val="22"/>
          <w:lang w:eastAsia="sk-SK"/>
        </w:rPr>
        <w:t xml:space="preserve">Minimálna požadovaná úroveň štandardov: </w:t>
      </w:r>
    </w:p>
    <w:p w:rsidR="00E07FF8" w:rsidRDefault="00E07FF8" w:rsidP="00E07FF8">
      <w:pPr>
        <w:keepNext/>
        <w:keepLines/>
        <w:spacing w:before="200" w:after="0"/>
        <w:jc w:val="both"/>
        <w:outlineLvl w:val="2"/>
        <w:rPr>
          <w:rFonts w:ascii="Arial Narrow" w:eastAsia="Times New Roman" w:hAnsi="Arial Narrow"/>
          <w:sz w:val="22"/>
          <w:lang w:eastAsia="sk-SK"/>
        </w:rPr>
      </w:pPr>
      <w:r w:rsidRPr="001E1758">
        <w:rPr>
          <w:rFonts w:ascii="Arial Narrow" w:eastAsia="Times New Roman" w:hAnsi="Arial Narrow"/>
          <w:sz w:val="22"/>
          <w:lang w:eastAsia="sk-SK"/>
        </w:rPr>
        <w:lastRenderedPageBreak/>
        <w:t>Požaduje sa uvedenie opatrení použitých záujemcom na zabezpečenie kvality a to predložením predložiť originálu alebo úradne osvedčenej kópie platného certifikátu systému manažérstva kvality vo vzťahu k predmetu zákazky v zmysle požiadaviek EN ISO 9001 resp. ekvivalent, vydaný nezávislou inštitúciou, a to minimálne v rozsahu: nákup, predaj, servis hardvéru a softvéru. Verejný obstarávateľ uzná ako rovnocenný certifikát systému manažérstva kvality vydaný príslušným orgánom členského štátu v súlade s § 35 zákona o verejnom obstarávaní</w:t>
      </w:r>
      <w:r>
        <w:rPr>
          <w:rFonts w:ascii="Arial Narrow" w:eastAsia="Times New Roman" w:hAnsi="Arial Narrow"/>
          <w:sz w:val="22"/>
          <w:lang w:eastAsia="sk-SK"/>
        </w:rPr>
        <w:t>.</w:t>
      </w:r>
    </w:p>
    <w:p w:rsidR="00E07FF8" w:rsidRDefault="00E07FF8" w:rsidP="00E07FF8">
      <w:pPr>
        <w:spacing w:after="0" w:line="240" w:lineRule="auto"/>
        <w:rPr>
          <w:rFonts w:ascii="Arial Narrow" w:eastAsia="Times New Roman" w:hAnsi="Arial Narrow"/>
          <w:sz w:val="22"/>
          <w:lang w:eastAsia="sk-SK"/>
        </w:rPr>
      </w:pPr>
    </w:p>
    <w:p w:rsidR="00E07FF8" w:rsidRPr="001E1758" w:rsidRDefault="00E07FF8" w:rsidP="00E07FF8">
      <w:pPr>
        <w:spacing w:after="0" w:line="240" w:lineRule="auto"/>
        <w:rPr>
          <w:rFonts w:ascii="Arial Narrow" w:eastAsia="Times New Roman" w:hAnsi="Arial Narrow"/>
          <w:sz w:val="22"/>
          <w:lang w:eastAsia="sk-SK"/>
        </w:rPr>
      </w:pPr>
      <w:r>
        <w:rPr>
          <w:rFonts w:ascii="Arial Narrow" w:eastAsia="Times New Roman" w:hAnsi="Arial Narrow"/>
          <w:sz w:val="22"/>
          <w:lang w:eastAsia="sk-SK"/>
        </w:rPr>
        <w:t xml:space="preserve">3.2 § </w:t>
      </w:r>
      <w:r w:rsidRPr="001E1758">
        <w:rPr>
          <w:rFonts w:ascii="Arial Narrow" w:eastAsia="Times New Roman" w:hAnsi="Arial Narrow"/>
          <w:sz w:val="22"/>
          <w:lang w:eastAsia="sk-SK"/>
        </w:rPr>
        <w:t>34 ods.1 písm. d) v nadväznosti na § 35 zákona o verejnom obstarávaní - uvedenie opatrení použitých záujemcom na zabezpečenie kvality</w:t>
      </w:r>
      <w:r w:rsidRPr="001E1758">
        <w:rPr>
          <w:rFonts w:ascii="Arial Narrow" w:eastAsia="Times New Roman" w:hAnsi="Arial Narrow"/>
          <w:sz w:val="22"/>
          <w:lang w:eastAsia="sk-SK"/>
        </w:rPr>
        <w:br/>
      </w:r>
    </w:p>
    <w:p w:rsidR="00E07FF8" w:rsidRPr="001E1758" w:rsidRDefault="00E07FF8" w:rsidP="00E07FF8">
      <w:pPr>
        <w:spacing w:after="0" w:line="240" w:lineRule="auto"/>
        <w:jc w:val="both"/>
        <w:rPr>
          <w:rFonts w:ascii="Arial Narrow" w:eastAsia="Times New Roman" w:hAnsi="Arial Narrow"/>
          <w:sz w:val="22"/>
          <w:lang w:eastAsia="sk-SK"/>
        </w:rPr>
      </w:pPr>
      <w:r w:rsidRPr="001E1758">
        <w:rPr>
          <w:rFonts w:ascii="Arial Narrow" w:eastAsia="Times New Roman" w:hAnsi="Arial Narrow"/>
          <w:sz w:val="22"/>
          <w:lang w:eastAsia="sk-SK"/>
        </w:rPr>
        <w:t xml:space="preserve">Minimálna požadovaná úroveň štandardov: </w:t>
      </w:r>
    </w:p>
    <w:p w:rsidR="00E07FF8" w:rsidRDefault="00E07FF8" w:rsidP="00E07FF8">
      <w:pPr>
        <w:keepNext/>
        <w:keepLines/>
        <w:spacing w:before="200" w:after="0"/>
        <w:jc w:val="both"/>
        <w:outlineLvl w:val="2"/>
        <w:rPr>
          <w:rFonts w:ascii="Arial Narrow" w:eastAsia="Times New Roman" w:hAnsi="Arial Narrow"/>
          <w:sz w:val="22"/>
          <w:lang w:eastAsia="sk-SK"/>
        </w:rPr>
      </w:pPr>
      <w:r w:rsidRPr="001E1758">
        <w:rPr>
          <w:rFonts w:ascii="Arial Narrow" w:eastAsia="Times New Roman" w:hAnsi="Arial Narrow"/>
          <w:sz w:val="22"/>
          <w:lang w:eastAsia="sk-SK"/>
        </w:rPr>
        <w:t xml:space="preserve">Požaduje sa uvedenie opatrení použitých záujemcom na zabezpečenie </w:t>
      </w:r>
      <w:r w:rsidRPr="00734900">
        <w:rPr>
          <w:rFonts w:ascii="Arial Narrow" w:eastAsia="Times New Roman" w:hAnsi="Arial Narrow"/>
          <w:sz w:val="22"/>
          <w:lang w:eastAsia="sk-SK"/>
        </w:rPr>
        <w:t xml:space="preserve">informačnej bezpečnosti </w:t>
      </w:r>
      <w:r w:rsidRPr="001E1758">
        <w:rPr>
          <w:rFonts w:ascii="Arial Narrow" w:eastAsia="Times New Roman" w:hAnsi="Arial Narrow"/>
          <w:sz w:val="22"/>
          <w:lang w:eastAsia="sk-SK"/>
        </w:rPr>
        <w:t xml:space="preserve">a to predložením predložiť originálu alebo úradne osvedčenej kópie platného certifikátu systému </w:t>
      </w:r>
      <w:r w:rsidRPr="00734900">
        <w:rPr>
          <w:rFonts w:ascii="Arial Narrow" w:eastAsia="Times New Roman" w:hAnsi="Arial Narrow"/>
          <w:sz w:val="22"/>
          <w:lang w:eastAsia="sk-SK"/>
        </w:rPr>
        <w:t xml:space="preserve">informačnej bezpečnosti </w:t>
      </w:r>
      <w:r w:rsidRPr="001E1758">
        <w:rPr>
          <w:rFonts w:ascii="Arial Narrow" w:eastAsia="Times New Roman" w:hAnsi="Arial Narrow"/>
          <w:sz w:val="22"/>
          <w:lang w:eastAsia="sk-SK"/>
        </w:rPr>
        <w:t xml:space="preserve">vo vzťahu k predmetu zákazky v zmysle požiadaviek EN ISO </w:t>
      </w:r>
      <w:r w:rsidRPr="00734900">
        <w:rPr>
          <w:rFonts w:ascii="Arial Narrow" w:eastAsia="Times New Roman" w:hAnsi="Arial Narrow"/>
          <w:sz w:val="22"/>
          <w:lang w:eastAsia="sk-SK"/>
        </w:rPr>
        <w:t xml:space="preserve">27001 </w:t>
      </w:r>
      <w:r w:rsidRPr="001E1758">
        <w:rPr>
          <w:rFonts w:ascii="Arial Narrow" w:eastAsia="Times New Roman" w:hAnsi="Arial Narrow"/>
          <w:sz w:val="22"/>
          <w:lang w:eastAsia="sk-SK"/>
        </w:rPr>
        <w:t xml:space="preserve">resp. ekvivalent, vydaný nezávislou inštitúciou, a to minimálne v rozsahu: nákup, predaj, servis hardvéru a softvéru. Verejný obstarávateľ uzná ako rovnocenný certifikát systému </w:t>
      </w:r>
      <w:r w:rsidRPr="00734900">
        <w:rPr>
          <w:rFonts w:ascii="Arial Narrow" w:eastAsia="Times New Roman" w:hAnsi="Arial Narrow"/>
          <w:sz w:val="22"/>
          <w:lang w:eastAsia="sk-SK"/>
        </w:rPr>
        <w:t xml:space="preserve">informačnej bezpečnosti </w:t>
      </w:r>
      <w:r w:rsidRPr="001E1758">
        <w:rPr>
          <w:rFonts w:ascii="Arial Narrow" w:eastAsia="Times New Roman" w:hAnsi="Arial Narrow"/>
          <w:sz w:val="22"/>
          <w:lang w:eastAsia="sk-SK"/>
        </w:rPr>
        <w:t>vydaný príslušným orgánom členského štátu v súlade s § 35 zákona o verejnom obstarávaní</w:t>
      </w:r>
      <w:r>
        <w:rPr>
          <w:rFonts w:ascii="Arial Narrow" w:eastAsia="Times New Roman" w:hAnsi="Arial Narrow"/>
          <w:sz w:val="22"/>
          <w:lang w:eastAsia="sk-SK"/>
        </w:rPr>
        <w:t>.</w:t>
      </w:r>
    </w:p>
    <w:p w:rsidR="00E07FF8" w:rsidRPr="00AA43A5" w:rsidRDefault="00E07FF8" w:rsidP="00E07FF8">
      <w:pPr>
        <w:keepNext/>
        <w:keepLines/>
        <w:spacing w:before="200" w:after="0"/>
        <w:jc w:val="both"/>
        <w:outlineLvl w:val="2"/>
        <w:rPr>
          <w:rFonts w:ascii="Arial Narrow" w:eastAsia="Times New Roman" w:hAnsi="Arial Narrow"/>
          <w:sz w:val="22"/>
        </w:rPr>
      </w:pPr>
      <w:r>
        <w:rPr>
          <w:rFonts w:ascii="Arial Narrow" w:eastAsia="Times New Roman" w:hAnsi="Arial Narrow"/>
          <w:sz w:val="22"/>
          <w:lang w:eastAsia="sk-SK"/>
        </w:rPr>
        <w:t xml:space="preserve"> </w:t>
      </w:r>
    </w:p>
    <w:p w:rsidR="00E07FF8" w:rsidRPr="00AA43A5" w:rsidRDefault="00E07FF8" w:rsidP="00E07FF8">
      <w:pPr>
        <w:spacing w:after="0" w:line="240" w:lineRule="auto"/>
        <w:jc w:val="both"/>
        <w:rPr>
          <w:rFonts w:ascii="Arial Narrow" w:hAnsi="Arial Narrow"/>
          <w:sz w:val="22"/>
        </w:rPr>
      </w:pPr>
      <w:r w:rsidRPr="00AA43A5">
        <w:rPr>
          <w:rFonts w:ascii="Arial Narrow" w:hAnsi="Arial Narrow"/>
          <w:sz w:val="22"/>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ods.6 písm. a) až h) a ods. 7 zákona; oprávnenie poskytovať službu preukazuje vo vzťahu k tej časti predmetu zákazky, na ktorú boli kapacity uchádzačovi poskytnuté. </w:t>
      </w:r>
    </w:p>
    <w:p w:rsidR="00E07FF8" w:rsidRPr="00AA43A5" w:rsidRDefault="00E07FF8" w:rsidP="00E07FF8">
      <w:pPr>
        <w:spacing w:after="0" w:line="240" w:lineRule="auto"/>
        <w:jc w:val="both"/>
        <w:rPr>
          <w:rFonts w:ascii="Arial Narrow" w:hAnsi="Arial Narrow"/>
          <w:sz w:val="22"/>
        </w:rPr>
      </w:pPr>
    </w:p>
    <w:p w:rsidR="00E07FF8" w:rsidRPr="00AA43A5" w:rsidRDefault="00E07FF8" w:rsidP="00E07FF8">
      <w:pPr>
        <w:spacing w:after="0" w:line="240" w:lineRule="auto"/>
        <w:jc w:val="both"/>
        <w:rPr>
          <w:rFonts w:ascii="Arial Narrow" w:hAnsi="Arial Narrow"/>
          <w:sz w:val="22"/>
        </w:rPr>
      </w:pPr>
      <w:r w:rsidRPr="00AA43A5">
        <w:rPr>
          <w:rFonts w:ascii="Arial Narrow" w:hAnsi="Arial Narrow"/>
          <w:sz w:val="22"/>
        </w:rPr>
        <w:t>Uchádzač môže predbežne nahradiť doklady na preukázanie splnenia podmienok účasti jednotným európskym</w:t>
      </w:r>
      <w:r w:rsidRPr="00AA43A5">
        <w:rPr>
          <w:rFonts w:ascii="Arial Narrow" w:hAnsi="Arial Narrow" w:cs="Calibri"/>
          <w:sz w:val="22"/>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rsidR="00E07FF8" w:rsidRPr="00AA43A5" w:rsidRDefault="00E07FF8" w:rsidP="00E07FF8">
      <w:pPr>
        <w:spacing w:after="0" w:line="240" w:lineRule="auto"/>
        <w:jc w:val="both"/>
        <w:rPr>
          <w:rFonts w:ascii="Arial Narrow" w:hAnsi="Arial Narrow"/>
          <w:sz w:val="22"/>
        </w:rPr>
      </w:pPr>
    </w:p>
    <w:p w:rsidR="00212CC0" w:rsidRDefault="00E07FF8" w:rsidP="00E07FF8">
      <w:pPr>
        <w:spacing w:after="0" w:line="240" w:lineRule="auto"/>
        <w:jc w:val="both"/>
      </w:pPr>
      <w:r w:rsidRPr="00AA43A5">
        <w:rPr>
          <w:rFonts w:ascii="Arial Narrow" w:hAnsi="Arial Narrow" w:cs="Calibri"/>
          <w:sz w:val="22"/>
        </w:rPr>
        <w:t>V prípade, že uchádzača tvorí skupina dodávateľov, uchádzač vyplní a predloží JED s požadovanými informáciami za každého člena skupiny dodávateľov.</w:t>
      </w:r>
    </w:p>
    <w:sectPr w:rsidR="00212C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A5D" w:rsidRDefault="00AF4A5D" w:rsidP="00E07FF8">
      <w:pPr>
        <w:spacing w:after="0" w:line="240" w:lineRule="auto"/>
      </w:pPr>
      <w:r>
        <w:separator/>
      </w:r>
    </w:p>
  </w:endnote>
  <w:endnote w:type="continuationSeparator" w:id="0">
    <w:p w:rsidR="00AF4A5D" w:rsidRDefault="00AF4A5D" w:rsidP="00E0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A5D" w:rsidRDefault="00AF4A5D" w:rsidP="00E07FF8">
      <w:pPr>
        <w:spacing w:after="0" w:line="240" w:lineRule="auto"/>
      </w:pPr>
      <w:r>
        <w:separator/>
      </w:r>
    </w:p>
  </w:footnote>
  <w:footnote w:type="continuationSeparator" w:id="0">
    <w:p w:rsidR="00AF4A5D" w:rsidRDefault="00AF4A5D" w:rsidP="00E07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F8" w:rsidRPr="008E7B3D" w:rsidRDefault="00E07FF8" w:rsidP="00E07FF8">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Podľa ustanovení zákona č. 343/2015 Z. z. o verejnom obstarávaní a o zmene a doplnení niektorých zákonov</w:t>
    </w:r>
  </w:p>
  <w:p w:rsidR="00E07FF8" w:rsidRPr="008E7B3D" w:rsidRDefault="00E07FF8" w:rsidP="00E07FF8">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v znení neskorších predpisov</w:t>
    </w:r>
  </w:p>
  <w:p w:rsidR="00E07FF8" w:rsidRPr="00B00891" w:rsidRDefault="00E07FF8" w:rsidP="00E07FF8">
    <w:pPr>
      <w:pStyle w:val="Hlavika"/>
    </w:pPr>
    <w:r>
      <w:rPr>
        <w:noProof/>
        <w:lang w:eastAsia="sk-SK"/>
      </w:rPr>
      <mc:AlternateContent>
        <mc:Choice Requires="wps">
          <w:drawing>
            <wp:anchor distT="4294967293" distB="4294967293" distL="114300" distR="114300" simplePos="0" relativeHeight="251659264" behindDoc="0" locked="0" layoutInCell="1" allowOverlap="1">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F8"/>
    <w:rsid w:val="00212CC0"/>
    <w:rsid w:val="00AF4A5D"/>
    <w:rsid w:val="00E07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07FF8"/>
    <w:rPr>
      <w:rFonts w:ascii="Times New Roman" w:eastAsia="Calibri" w:hAnsi="Times New Roman" w:cs="Times New Roman"/>
      <w:sz w:val="20"/>
    </w:rPr>
  </w:style>
  <w:style w:type="paragraph" w:styleId="Nadpis2">
    <w:name w:val="heading 2"/>
    <w:basedOn w:val="Normlny"/>
    <w:next w:val="Normlny"/>
    <w:link w:val="Nadpis2Char"/>
    <w:autoRedefine/>
    <w:uiPriority w:val="9"/>
    <w:qFormat/>
    <w:rsid w:val="00E07FF8"/>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Normlny"/>
    <w:next w:val="Normlny"/>
    <w:link w:val="Nadpis3Char"/>
    <w:uiPriority w:val="9"/>
    <w:semiHidden/>
    <w:unhideWhenUsed/>
    <w:qFormat/>
    <w:rsid w:val="00E07FF8"/>
    <w:pPr>
      <w:keepNext/>
      <w:keepLines/>
      <w:spacing w:before="200" w:after="0"/>
      <w:outlineLvl w:val="2"/>
    </w:pPr>
    <w:rPr>
      <w:rFonts w:asciiTheme="majorHAnsi" w:eastAsiaTheme="majorEastAsia" w:hAnsiTheme="majorHAnsi" w:cstheme="majorBidi"/>
      <w:b/>
      <w:bCs/>
      <w:color w:val="4F81BD" w:themeColor="accent1"/>
    </w:rPr>
  </w:style>
  <w:style w:type="paragraph" w:styleId="Nadpis8">
    <w:name w:val="heading 8"/>
    <w:basedOn w:val="Nadpis3"/>
    <w:next w:val="Normlny"/>
    <w:link w:val="Nadpis8Char"/>
    <w:autoRedefine/>
    <w:qFormat/>
    <w:rsid w:val="00E07FF8"/>
    <w:pPr>
      <w:numPr>
        <w:ilvl w:val="2"/>
        <w:numId w:val="1"/>
      </w:numPr>
      <w:spacing w:before="0" w:after="120" w:line="240" w:lineRule="auto"/>
      <w:jc w:val="both"/>
      <w:outlineLvl w:val="7"/>
    </w:pPr>
    <w:rPr>
      <w:rFonts w:ascii="Arial Narrow" w:eastAsia="Times New Roman" w:hAnsi="Arial Narrow" w:cs="Times New Roman"/>
      <w:bCs w:val="0"/>
      <w:color w:val="auto"/>
      <w:sz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E07FF8"/>
    <w:rPr>
      <w:rFonts w:ascii="Arial Narrow" w:eastAsia="Times New Roman" w:hAnsi="Arial Narrow" w:cs="Times New Roman"/>
      <w:b/>
      <w:bCs/>
      <w:smallCaps/>
      <w:lang w:val="x-none" w:eastAsia="cs-CZ"/>
    </w:rPr>
  </w:style>
  <w:style w:type="character" w:customStyle="1" w:styleId="Nadpis8Char">
    <w:name w:val="Nadpis 8 Char"/>
    <w:basedOn w:val="Predvolenpsmoodseku"/>
    <w:link w:val="Nadpis8"/>
    <w:rsid w:val="00E07FF8"/>
    <w:rPr>
      <w:rFonts w:ascii="Arial Narrow" w:eastAsia="Times New Roman" w:hAnsi="Arial Narrow" w:cs="Times New Roman"/>
      <w:b/>
      <w:lang w:val="x-none" w:eastAsia="x-none"/>
    </w:rPr>
  </w:style>
  <w:style w:type="paragraph" w:customStyle="1" w:styleId="Nadpis11">
    <w:name w:val="Nadpis 11"/>
    <w:basedOn w:val="Normlnysozarkami"/>
    <w:autoRedefine/>
    <w:qFormat/>
    <w:rsid w:val="00E07FF8"/>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E07FF8"/>
    <w:pPr>
      <w:numPr>
        <w:ilvl w:val="4"/>
      </w:numPr>
    </w:pPr>
    <w:rPr>
      <w:b w:val="0"/>
    </w:rPr>
  </w:style>
  <w:style w:type="character" w:customStyle="1" w:styleId="Nadpis3Char">
    <w:name w:val="Nadpis 3 Char"/>
    <w:basedOn w:val="Predvolenpsmoodseku"/>
    <w:link w:val="Nadpis3"/>
    <w:uiPriority w:val="9"/>
    <w:semiHidden/>
    <w:rsid w:val="00E07FF8"/>
    <w:rPr>
      <w:rFonts w:asciiTheme="majorHAnsi" w:eastAsiaTheme="majorEastAsia" w:hAnsiTheme="majorHAnsi" w:cstheme="majorBidi"/>
      <w:b/>
      <w:bCs/>
      <w:color w:val="4F81BD" w:themeColor="accent1"/>
      <w:sz w:val="20"/>
    </w:rPr>
  </w:style>
  <w:style w:type="paragraph" w:styleId="Normlnysozarkami">
    <w:name w:val="Normal Indent"/>
    <w:basedOn w:val="Normlny"/>
    <w:uiPriority w:val="99"/>
    <w:semiHidden/>
    <w:unhideWhenUsed/>
    <w:rsid w:val="00E07FF8"/>
    <w:pPr>
      <w:ind w:left="708"/>
    </w:pPr>
  </w:style>
  <w:style w:type="paragraph" w:styleId="Hlavika">
    <w:name w:val="header"/>
    <w:basedOn w:val="Normlny"/>
    <w:link w:val="HlavikaChar"/>
    <w:uiPriority w:val="99"/>
    <w:unhideWhenUsed/>
    <w:rsid w:val="00E07F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7FF8"/>
    <w:rPr>
      <w:rFonts w:ascii="Times New Roman" w:eastAsia="Calibri" w:hAnsi="Times New Roman" w:cs="Times New Roman"/>
      <w:sz w:val="20"/>
    </w:rPr>
  </w:style>
  <w:style w:type="paragraph" w:styleId="Pta">
    <w:name w:val="footer"/>
    <w:basedOn w:val="Normlny"/>
    <w:link w:val="PtaChar"/>
    <w:uiPriority w:val="99"/>
    <w:unhideWhenUsed/>
    <w:rsid w:val="00E07FF8"/>
    <w:pPr>
      <w:tabs>
        <w:tab w:val="center" w:pos="4536"/>
        <w:tab w:val="right" w:pos="9072"/>
      </w:tabs>
      <w:spacing w:after="0" w:line="240" w:lineRule="auto"/>
    </w:pPr>
  </w:style>
  <w:style w:type="character" w:customStyle="1" w:styleId="PtaChar">
    <w:name w:val="Päta Char"/>
    <w:basedOn w:val="Predvolenpsmoodseku"/>
    <w:link w:val="Pta"/>
    <w:uiPriority w:val="99"/>
    <w:rsid w:val="00E07FF8"/>
    <w:rPr>
      <w:rFonts w:ascii="Times New Roman" w:eastAsia="Calibri" w:hAnsi="Times New Roman" w:cs="Times New Roman"/>
      <w:sz w:val="20"/>
    </w:rPr>
  </w:style>
  <w:style w:type="paragraph" w:styleId="Zkladntext3">
    <w:name w:val="Body Text 3"/>
    <w:basedOn w:val="Normlny"/>
    <w:link w:val="Zkladntext3Char"/>
    <w:unhideWhenUsed/>
    <w:rsid w:val="00E07FF8"/>
    <w:pPr>
      <w:spacing w:after="120"/>
    </w:pPr>
    <w:rPr>
      <w:sz w:val="16"/>
      <w:szCs w:val="16"/>
    </w:rPr>
  </w:style>
  <w:style w:type="character" w:customStyle="1" w:styleId="Zkladntext3Char">
    <w:name w:val="Základný text 3 Char"/>
    <w:basedOn w:val="Predvolenpsmoodseku"/>
    <w:link w:val="Zkladntext3"/>
    <w:rsid w:val="00E07FF8"/>
    <w:rPr>
      <w:rFonts w:ascii="Times New Roman" w:eastAsia="Calibri"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07FF8"/>
    <w:rPr>
      <w:rFonts w:ascii="Times New Roman" w:eastAsia="Calibri" w:hAnsi="Times New Roman" w:cs="Times New Roman"/>
      <w:sz w:val="20"/>
    </w:rPr>
  </w:style>
  <w:style w:type="paragraph" w:styleId="Nadpis2">
    <w:name w:val="heading 2"/>
    <w:basedOn w:val="Normlny"/>
    <w:next w:val="Normlny"/>
    <w:link w:val="Nadpis2Char"/>
    <w:autoRedefine/>
    <w:uiPriority w:val="9"/>
    <w:qFormat/>
    <w:rsid w:val="00E07FF8"/>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Normlny"/>
    <w:next w:val="Normlny"/>
    <w:link w:val="Nadpis3Char"/>
    <w:uiPriority w:val="9"/>
    <w:semiHidden/>
    <w:unhideWhenUsed/>
    <w:qFormat/>
    <w:rsid w:val="00E07FF8"/>
    <w:pPr>
      <w:keepNext/>
      <w:keepLines/>
      <w:spacing w:before="200" w:after="0"/>
      <w:outlineLvl w:val="2"/>
    </w:pPr>
    <w:rPr>
      <w:rFonts w:asciiTheme="majorHAnsi" w:eastAsiaTheme="majorEastAsia" w:hAnsiTheme="majorHAnsi" w:cstheme="majorBidi"/>
      <w:b/>
      <w:bCs/>
      <w:color w:val="4F81BD" w:themeColor="accent1"/>
    </w:rPr>
  </w:style>
  <w:style w:type="paragraph" w:styleId="Nadpis8">
    <w:name w:val="heading 8"/>
    <w:basedOn w:val="Nadpis3"/>
    <w:next w:val="Normlny"/>
    <w:link w:val="Nadpis8Char"/>
    <w:autoRedefine/>
    <w:qFormat/>
    <w:rsid w:val="00E07FF8"/>
    <w:pPr>
      <w:numPr>
        <w:ilvl w:val="2"/>
        <w:numId w:val="1"/>
      </w:numPr>
      <w:spacing w:before="0" w:after="120" w:line="240" w:lineRule="auto"/>
      <w:jc w:val="both"/>
      <w:outlineLvl w:val="7"/>
    </w:pPr>
    <w:rPr>
      <w:rFonts w:ascii="Arial Narrow" w:eastAsia="Times New Roman" w:hAnsi="Arial Narrow" w:cs="Times New Roman"/>
      <w:bCs w:val="0"/>
      <w:color w:val="auto"/>
      <w:sz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E07FF8"/>
    <w:rPr>
      <w:rFonts w:ascii="Arial Narrow" w:eastAsia="Times New Roman" w:hAnsi="Arial Narrow" w:cs="Times New Roman"/>
      <w:b/>
      <w:bCs/>
      <w:smallCaps/>
      <w:lang w:val="x-none" w:eastAsia="cs-CZ"/>
    </w:rPr>
  </w:style>
  <w:style w:type="character" w:customStyle="1" w:styleId="Nadpis8Char">
    <w:name w:val="Nadpis 8 Char"/>
    <w:basedOn w:val="Predvolenpsmoodseku"/>
    <w:link w:val="Nadpis8"/>
    <w:rsid w:val="00E07FF8"/>
    <w:rPr>
      <w:rFonts w:ascii="Arial Narrow" w:eastAsia="Times New Roman" w:hAnsi="Arial Narrow" w:cs="Times New Roman"/>
      <w:b/>
      <w:lang w:val="x-none" w:eastAsia="x-none"/>
    </w:rPr>
  </w:style>
  <w:style w:type="paragraph" w:customStyle="1" w:styleId="Nadpis11">
    <w:name w:val="Nadpis 11"/>
    <w:basedOn w:val="Normlnysozarkami"/>
    <w:autoRedefine/>
    <w:qFormat/>
    <w:rsid w:val="00E07FF8"/>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E07FF8"/>
    <w:pPr>
      <w:numPr>
        <w:ilvl w:val="4"/>
      </w:numPr>
    </w:pPr>
    <w:rPr>
      <w:b w:val="0"/>
    </w:rPr>
  </w:style>
  <w:style w:type="character" w:customStyle="1" w:styleId="Nadpis3Char">
    <w:name w:val="Nadpis 3 Char"/>
    <w:basedOn w:val="Predvolenpsmoodseku"/>
    <w:link w:val="Nadpis3"/>
    <w:uiPriority w:val="9"/>
    <w:semiHidden/>
    <w:rsid w:val="00E07FF8"/>
    <w:rPr>
      <w:rFonts w:asciiTheme="majorHAnsi" w:eastAsiaTheme="majorEastAsia" w:hAnsiTheme="majorHAnsi" w:cstheme="majorBidi"/>
      <w:b/>
      <w:bCs/>
      <w:color w:val="4F81BD" w:themeColor="accent1"/>
      <w:sz w:val="20"/>
    </w:rPr>
  </w:style>
  <w:style w:type="paragraph" w:styleId="Normlnysozarkami">
    <w:name w:val="Normal Indent"/>
    <w:basedOn w:val="Normlny"/>
    <w:uiPriority w:val="99"/>
    <w:semiHidden/>
    <w:unhideWhenUsed/>
    <w:rsid w:val="00E07FF8"/>
    <w:pPr>
      <w:ind w:left="708"/>
    </w:pPr>
  </w:style>
  <w:style w:type="paragraph" w:styleId="Hlavika">
    <w:name w:val="header"/>
    <w:basedOn w:val="Normlny"/>
    <w:link w:val="HlavikaChar"/>
    <w:uiPriority w:val="99"/>
    <w:unhideWhenUsed/>
    <w:rsid w:val="00E07F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7FF8"/>
    <w:rPr>
      <w:rFonts w:ascii="Times New Roman" w:eastAsia="Calibri" w:hAnsi="Times New Roman" w:cs="Times New Roman"/>
      <w:sz w:val="20"/>
    </w:rPr>
  </w:style>
  <w:style w:type="paragraph" w:styleId="Pta">
    <w:name w:val="footer"/>
    <w:basedOn w:val="Normlny"/>
    <w:link w:val="PtaChar"/>
    <w:uiPriority w:val="99"/>
    <w:unhideWhenUsed/>
    <w:rsid w:val="00E07FF8"/>
    <w:pPr>
      <w:tabs>
        <w:tab w:val="center" w:pos="4536"/>
        <w:tab w:val="right" w:pos="9072"/>
      </w:tabs>
      <w:spacing w:after="0" w:line="240" w:lineRule="auto"/>
    </w:pPr>
  </w:style>
  <w:style w:type="character" w:customStyle="1" w:styleId="PtaChar">
    <w:name w:val="Päta Char"/>
    <w:basedOn w:val="Predvolenpsmoodseku"/>
    <w:link w:val="Pta"/>
    <w:uiPriority w:val="99"/>
    <w:rsid w:val="00E07FF8"/>
    <w:rPr>
      <w:rFonts w:ascii="Times New Roman" w:eastAsia="Calibri" w:hAnsi="Times New Roman" w:cs="Times New Roman"/>
      <w:sz w:val="20"/>
    </w:rPr>
  </w:style>
  <w:style w:type="paragraph" w:styleId="Zkladntext3">
    <w:name w:val="Body Text 3"/>
    <w:basedOn w:val="Normlny"/>
    <w:link w:val="Zkladntext3Char"/>
    <w:unhideWhenUsed/>
    <w:rsid w:val="00E07FF8"/>
    <w:pPr>
      <w:spacing w:after="120"/>
    </w:pPr>
    <w:rPr>
      <w:sz w:val="16"/>
      <w:szCs w:val="16"/>
    </w:rPr>
  </w:style>
  <w:style w:type="character" w:customStyle="1" w:styleId="Zkladntext3Char">
    <w:name w:val="Základný text 3 Char"/>
    <w:basedOn w:val="Predvolenpsmoodseku"/>
    <w:link w:val="Zkladntext3"/>
    <w:rsid w:val="00E07FF8"/>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5461</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1</cp:revision>
  <dcterms:created xsi:type="dcterms:W3CDTF">2019-04-09T07:57:00Z</dcterms:created>
  <dcterms:modified xsi:type="dcterms:W3CDTF">2019-04-09T07:58:00Z</dcterms:modified>
</cp:coreProperties>
</file>