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6B113" w14:textId="77777777" w:rsidR="00593C06" w:rsidRPr="00BF5975" w:rsidRDefault="00593C06" w:rsidP="007651FE">
      <w:pPr>
        <w:spacing w:after="0" w:line="240" w:lineRule="auto"/>
        <w:jc w:val="both"/>
        <w:rPr>
          <w:rFonts w:ascii="Arial Narrow" w:hAnsi="Arial Narrow"/>
          <w:b/>
        </w:rPr>
      </w:pPr>
    </w:p>
    <w:p w14:paraId="450402D0" w14:textId="77777777" w:rsidR="00593C06" w:rsidRPr="00BF5975" w:rsidRDefault="00593C06" w:rsidP="00593C06">
      <w:pPr>
        <w:spacing w:after="0" w:line="240" w:lineRule="auto"/>
        <w:jc w:val="center"/>
        <w:rPr>
          <w:rFonts w:ascii="Arial Narrow" w:hAnsi="Arial Narrow"/>
          <w:b/>
        </w:rPr>
      </w:pPr>
      <w:r w:rsidRPr="00BF5975">
        <w:rPr>
          <w:rFonts w:ascii="Arial Narrow" w:hAnsi="Arial Narrow"/>
          <w:b/>
        </w:rPr>
        <w:t>Podmienky účasti</w:t>
      </w:r>
    </w:p>
    <w:p w14:paraId="45ECC865" w14:textId="77777777" w:rsidR="00593C06" w:rsidRPr="00BF5975" w:rsidRDefault="00593C06" w:rsidP="007651FE">
      <w:pPr>
        <w:spacing w:after="0" w:line="240" w:lineRule="auto"/>
        <w:jc w:val="both"/>
        <w:rPr>
          <w:rFonts w:ascii="Arial Narrow" w:hAnsi="Arial Narrow"/>
          <w:b/>
        </w:rPr>
      </w:pPr>
    </w:p>
    <w:p w14:paraId="27D09493" w14:textId="77777777" w:rsidR="00593C06" w:rsidRPr="00BF5975" w:rsidRDefault="00593C06" w:rsidP="007651FE">
      <w:pPr>
        <w:spacing w:after="0" w:line="240" w:lineRule="auto"/>
        <w:jc w:val="both"/>
        <w:rPr>
          <w:rFonts w:ascii="Arial Narrow" w:hAnsi="Arial Narrow"/>
          <w:b/>
        </w:rPr>
      </w:pPr>
    </w:p>
    <w:p w14:paraId="07E082A1" w14:textId="68746D6E" w:rsidR="007651FE" w:rsidRPr="00BF5975" w:rsidRDefault="007651FE" w:rsidP="007651FE">
      <w:pPr>
        <w:spacing w:after="0" w:line="240" w:lineRule="auto"/>
        <w:jc w:val="both"/>
        <w:rPr>
          <w:rFonts w:ascii="Arial Narrow" w:hAnsi="Arial Narrow"/>
          <w:b/>
          <w:color w:val="FF0000"/>
        </w:rPr>
      </w:pPr>
      <w:r w:rsidRPr="00BF5975">
        <w:rPr>
          <w:rFonts w:ascii="Arial Narrow" w:hAnsi="Arial Narrow"/>
          <w:b/>
        </w:rPr>
        <w:t>1. Osobné postavenie</w:t>
      </w:r>
      <w:r w:rsidR="0073590D" w:rsidRPr="00BF5975">
        <w:rPr>
          <w:rFonts w:ascii="Arial Narrow" w:hAnsi="Arial Narrow"/>
          <w:b/>
        </w:rPr>
        <w:t xml:space="preserve"> </w:t>
      </w:r>
    </w:p>
    <w:p w14:paraId="5BD5840B" w14:textId="77777777" w:rsidR="00B90824" w:rsidRPr="00BF5975" w:rsidRDefault="0073590D" w:rsidP="00B90824">
      <w:pPr>
        <w:pStyle w:val="Zkladntext"/>
        <w:jc w:val="both"/>
        <w:rPr>
          <w:rFonts w:ascii="Arial Narrow" w:hAnsi="Arial Narrow" w:cs="Arial"/>
        </w:rPr>
      </w:pPr>
      <w:r w:rsidRPr="00BF5975">
        <w:rPr>
          <w:rFonts w:ascii="Arial Narrow" w:hAnsi="Arial Narrow" w:cs="Arial"/>
        </w:rPr>
        <w:t xml:space="preserve">Verejného obstarávania sa môže zúčastniť hospodársky subjekt, ktorý spĺňa taxatívne určené podmienky účasti týkajúce sa osobného postavenia podľa § 32 ods. 1 zákona. </w:t>
      </w:r>
    </w:p>
    <w:p w14:paraId="4F274D21" w14:textId="77777777" w:rsidR="00B90824" w:rsidRPr="00BF5975" w:rsidRDefault="00B90824" w:rsidP="00B90824">
      <w:pPr>
        <w:pStyle w:val="Zkladntext"/>
        <w:jc w:val="both"/>
        <w:rPr>
          <w:rFonts w:ascii="Arial Narrow" w:hAnsi="Arial Narrow" w:cs="Arial"/>
        </w:rPr>
      </w:pPr>
    </w:p>
    <w:p w14:paraId="31C6CE32" w14:textId="5CD54F0D" w:rsidR="00B90824" w:rsidRPr="00BF5975" w:rsidRDefault="00B90824" w:rsidP="00B90824">
      <w:pPr>
        <w:jc w:val="both"/>
        <w:rPr>
          <w:rFonts w:ascii="Arial Narrow" w:eastAsia="Arial" w:hAnsi="Arial Narrow"/>
        </w:rPr>
      </w:pPr>
      <w:r w:rsidRPr="00BF5975">
        <w:rPr>
          <w:rFonts w:ascii="Arial Narrow" w:eastAsia="Arial" w:hAnsi="Arial Narrow"/>
        </w:rPr>
        <w:t>Uchádzač musí spĺňať nasledovné podmienky účasti týkajúce sa osobného postavenia:</w:t>
      </w:r>
    </w:p>
    <w:p w14:paraId="32E11A86" w14:textId="77777777" w:rsidR="00B90824" w:rsidRPr="00BF5975" w:rsidRDefault="00B90824" w:rsidP="00B90824">
      <w:pPr>
        <w:pStyle w:val="Odsekzoznamu"/>
        <w:numPr>
          <w:ilvl w:val="0"/>
          <w:numId w:val="15"/>
        </w:numPr>
        <w:jc w:val="both"/>
        <w:rPr>
          <w:rFonts w:ascii="Arial Narrow" w:eastAsia="Arial" w:hAnsi="Arial Narrow"/>
          <w:noProof/>
        </w:rPr>
      </w:pPr>
      <w:r w:rsidRPr="00BF5975">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0C34FAA" w14:textId="77777777" w:rsidR="00B90824" w:rsidRPr="00BF5975" w:rsidRDefault="00B90824" w:rsidP="00B90824">
      <w:pPr>
        <w:pStyle w:val="Odsekzoznamu"/>
        <w:ind w:left="681"/>
        <w:jc w:val="both"/>
        <w:rPr>
          <w:rFonts w:ascii="Arial Narrow" w:eastAsia="Arial" w:hAnsi="Arial Narrow"/>
        </w:rPr>
      </w:pPr>
      <w:r w:rsidRPr="00BF5975">
        <w:rPr>
          <w:rFonts w:ascii="Arial Narrow" w:eastAsia="Arial" w:hAnsi="Arial Narrow"/>
        </w:rPr>
        <w:t xml:space="preserve"> </w:t>
      </w:r>
    </w:p>
    <w:p w14:paraId="5FD3DD16" w14:textId="77777777" w:rsidR="00B90824" w:rsidRPr="00BF5975" w:rsidRDefault="00B90824" w:rsidP="00B90824">
      <w:pPr>
        <w:pStyle w:val="Odsekzoznamu"/>
        <w:numPr>
          <w:ilvl w:val="0"/>
          <w:numId w:val="15"/>
        </w:numPr>
        <w:jc w:val="both"/>
        <w:rPr>
          <w:rFonts w:ascii="Arial Narrow" w:eastAsia="Arial" w:hAnsi="Arial Narrow"/>
        </w:rPr>
      </w:pPr>
      <w:r w:rsidRPr="00BF5975">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5DD574E6" w14:textId="77777777" w:rsidR="00B90824" w:rsidRPr="00BF5975" w:rsidRDefault="00B90824" w:rsidP="00B90824">
      <w:pPr>
        <w:pStyle w:val="Odsekzoznamu"/>
        <w:widowControl w:val="0"/>
        <w:tabs>
          <w:tab w:val="left" w:pos="0"/>
        </w:tabs>
        <w:spacing w:after="120" w:line="240" w:lineRule="exact"/>
        <w:jc w:val="both"/>
        <w:rPr>
          <w:rFonts w:ascii="Arial Narrow" w:eastAsia="Arial" w:hAnsi="Arial Narrow"/>
        </w:rPr>
      </w:pPr>
    </w:p>
    <w:p w14:paraId="60F2940A" w14:textId="77777777" w:rsidR="00B90824" w:rsidRPr="00BF5975" w:rsidRDefault="00B90824" w:rsidP="00B90824">
      <w:pPr>
        <w:pStyle w:val="Odsekzoznamu"/>
        <w:numPr>
          <w:ilvl w:val="0"/>
          <w:numId w:val="15"/>
        </w:numPr>
        <w:jc w:val="both"/>
        <w:rPr>
          <w:rFonts w:ascii="Arial Narrow" w:eastAsia="Arial" w:hAnsi="Arial Narrow"/>
        </w:rPr>
      </w:pPr>
      <w:r w:rsidRPr="00BF5975">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55262078" w14:textId="77777777" w:rsidR="00B90824" w:rsidRPr="00BF5975" w:rsidRDefault="00B90824" w:rsidP="00B90824">
      <w:pPr>
        <w:pStyle w:val="Odsekzoznamu"/>
        <w:ind w:left="681"/>
        <w:jc w:val="both"/>
        <w:rPr>
          <w:rFonts w:ascii="Arial Narrow" w:eastAsia="Arial" w:hAnsi="Arial Narrow"/>
        </w:rPr>
      </w:pPr>
    </w:p>
    <w:p w14:paraId="32B87775" w14:textId="77777777" w:rsidR="00B90824" w:rsidRPr="00BF5975" w:rsidRDefault="00B90824" w:rsidP="00B90824">
      <w:pPr>
        <w:pStyle w:val="Odsekzoznamu"/>
        <w:numPr>
          <w:ilvl w:val="0"/>
          <w:numId w:val="15"/>
        </w:numPr>
        <w:jc w:val="both"/>
        <w:rPr>
          <w:rFonts w:ascii="Arial Narrow" w:eastAsia="Arial" w:hAnsi="Arial Narrow"/>
        </w:rPr>
      </w:pPr>
      <w:r w:rsidRPr="00BF5975">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69CB9181" w14:textId="77777777" w:rsidR="00B90824" w:rsidRPr="00BF5975" w:rsidRDefault="00B90824" w:rsidP="00B90824">
      <w:pPr>
        <w:pStyle w:val="Odsekzoznamu"/>
        <w:ind w:left="681"/>
        <w:jc w:val="both"/>
        <w:rPr>
          <w:rFonts w:ascii="Arial Narrow" w:eastAsia="Arial" w:hAnsi="Arial Narrow"/>
        </w:rPr>
      </w:pPr>
    </w:p>
    <w:p w14:paraId="4199DF13" w14:textId="77777777" w:rsidR="00B90824" w:rsidRPr="00BF5975" w:rsidRDefault="00B90824" w:rsidP="00B90824">
      <w:pPr>
        <w:pStyle w:val="Odsekzoznamu"/>
        <w:numPr>
          <w:ilvl w:val="0"/>
          <w:numId w:val="15"/>
        </w:numPr>
        <w:jc w:val="both"/>
        <w:rPr>
          <w:rFonts w:ascii="Arial Narrow" w:eastAsia="Arial" w:hAnsi="Arial Narrow"/>
        </w:rPr>
      </w:pPr>
      <w:r w:rsidRPr="00BF5975">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470FB43E" w14:textId="77777777" w:rsidR="00B90824" w:rsidRPr="00BF5975" w:rsidRDefault="00B90824" w:rsidP="00B90824">
      <w:pPr>
        <w:pStyle w:val="Odsekzoznamu"/>
        <w:rPr>
          <w:rFonts w:ascii="Arial Narrow" w:eastAsia="Arial" w:hAnsi="Arial Narrow"/>
        </w:rPr>
      </w:pPr>
    </w:p>
    <w:p w14:paraId="40828E48" w14:textId="77777777" w:rsidR="00B90824" w:rsidRPr="00BF5975" w:rsidRDefault="00B90824" w:rsidP="00B90824">
      <w:pPr>
        <w:pStyle w:val="Odsekzoznamu"/>
        <w:numPr>
          <w:ilvl w:val="0"/>
          <w:numId w:val="15"/>
        </w:numPr>
        <w:jc w:val="both"/>
        <w:rPr>
          <w:rFonts w:ascii="Arial Narrow" w:eastAsia="Arial" w:hAnsi="Arial Narrow"/>
        </w:rPr>
      </w:pPr>
      <w:r w:rsidRPr="00BF5975">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6B993F3D" w14:textId="77777777" w:rsidR="00B90824" w:rsidRPr="00BF5975" w:rsidRDefault="00B90824" w:rsidP="00B90824">
      <w:pPr>
        <w:pStyle w:val="Odsekzoznamu"/>
        <w:ind w:left="681"/>
        <w:jc w:val="both"/>
        <w:rPr>
          <w:rFonts w:ascii="Arial Narrow" w:eastAsia="Arial" w:hAnsi="Arial Narrow"/>
        </w:rPr>
      </w:pPr>
    </w:p>
    <w:p w14:paraId="711BF441" w14:textId="77777777" w:rsidR="00B90824" w:rsidRPr="00BF5975" w:rsidRDefault="00B90824" w:rsidP="00B90824">
      <w:pPr>
        <w:pStyle w:val="Odsekzoznamu"/>
        <w:numPr>
          <w:ilvl w:val="0"/>
          <w:numId w:val="15"/>
        </w:numPr>
        <w:jc w:val="both"/>
        <w:rPr>
          <w:rFonts w:ascii="Arial Narrow" w:eastAsia="Arial" w:hAnsi="Arial Narrow"/>
        </w:rPr>
      </w:pPr>
      <w:r w:rsidRPr="00BF5975">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58764D6F" w14:textId="77777777" w:rsidR="00B90824" w:rsidRPr="00BF5975" w:rsidRDefault="00B90824" w:rsidP="00B90824">
      <w:pPr>
        <w:ind w:left="600" w:hanging="279"/>
        <w:jc w:val="both"/>
        <w:rPr>
          <w:rFonts w:ascii="Arial Narrow" w:eastAsia="Arial" w:hAnsi="Arial Narrow"/>
        </w:rPr>
      </w:pPr>
      <w:r w:rsidRPr="00BF5975">
        <w:rPr>
          <w:rFonts w:ascii="Arial Narrow" w:eastAsia="Arial" w:hAnsi="Arial Narrow"/>
        </w:rPr>
        <w:t>H) 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4D8583D9" w14:textId="77777777" w:rsidR="00B90824" w:rsidRPr="00BF5975" w:rsidRDefault="00B90824" w:rsidP="00B90824">
      <w:pPr>
        <w:autoSpaceDE w:val="0"/>
        <w:autoSpaceDN w:val="0"/>
        <w:adjustRightInd w:val="0"/>
        <w:jc w:val="both"/>
        <w:rPr>
          <w:rFonts w:ascii="Arial Narrow" w:hAnsi="Arial Narrow" w:cs="Tahoma"/>
          <w:lang w:eastAsia="sk-SK"/>
        </w:rPr>
      </w:pPr>
      <w:r w:rsidRPr="00BF5975">
        <w:rPr>
          <w:rFonts w:ascii="Arial Narrow" w:hAnsi="Arial Narrow" w:cs="Tahoma"/>
        </w:rPr>
        <w:t>Doklady, ktoré sa nepredkladajú:</w:t>
      </w:r>
    </w:p>
    <w:p w14:paraId="16200496" w14:textId="77777777" w:rsidR="00B90824" w:rsidRPr="00BF5975" w:rsidRDefault="00B90824" w:rsidP="00B90824">
      <w:pPr>
        <w:autoSpaceDE w:val="0"/>
        <w:autoSpaceDN w:val="0"/>
        <w:adjustRightInd w:val="0"/>
        <w:jc w:val="both"/>
        <w:rPr>
          <w:rFonts w:ascii="Arial Narrow" w:eastAsiaTheme="minorHAnsi" w:hAnsi="Arial Narrow" w:cs="Tahoma"/>
        </w:rPr>
      </w:pPr>
      <w:r w:rsidRPr="00BF5975">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55C9F6B" w14:textId="77777777" w:rsidR="00B90824" w:rsidRPr="00BF5975" w:rsidRDefault="00B90824" w:rsidP="00B90824">
      <w:pPr>
        <w:pStyle w:val="Odsekzoznamu"/>
        <w:widowControl w:val="0"/>
        <w:tabs>
          <w:tab w:val="left" w:pos="0"/>
        </w:tabs>
        <w:spacing w:after="120" w:line="240" w:lineRule="exact"/>
        <w:ind w:hanging="360"/>
        <w:jc w:val="both"/>
        <w:rPr>
          <w:rFonts w:ascii="Arial Narrow" w:hAnsi="Arial Narrow" w:cs="Tahoma"/>
        </w:rPr>
      </w:pPr>
      <w:r w:rsidRPr="00BF5975">
        <w:rPr>
          <w:rFonts w:ascii="Arial Narrow" w:hAnsi="Arial Narrow" w:cs="Tahoma"/>
        </w:rPr>
        <w:t>-</w:t>
      </w:r>
      <w:r w:rsidRPr="00BF5975">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2D5CBD2A" w14:textId="77777777" w:rsidR="00B90824" w:rsidRPr="00BF5975" w:rsidRDefault="00B90824" w:rsidP="00B90824">
      <w:pPr>
        <w:pStyle w:val="Odsekzoznamu"/>
        <w:widowControl w:val="0"/>
        <w:tabs>
          <w:tab w:val="left" w:pos="0"/>
        </w:tabs>
        <w:spacing w:after="120" w:line="240" w:lineRule="exact"/>
        <w:ind w:hanging="360"/>
        <w:jc w:val="both"/>
        <w:rPr>
          <w:rFonts w:ascii="Arial Narrow" w:hAnsi="Arial Narrow" w:cs="Tahoma"/>
        </w:rPr>
      </w:pPr>
      <w:r w:rsidRPr="00BF5975">
        <w:rPr>
          <w:rFonts w:ascii="Arial Narrow" w:hAnsi="Arial Narrow" w:cs="Tahoma"/>
        </w:rPr>
        <w:t>-</w:t>
      </w:r>
      <w:r w:rsidRPr="00BF5975">
        <w:rPr>
          <w:rFonts w:ascii="Arial Narrow" w:hAnsi="Arial Narrow" w:cs="Tahoma"/>
        </w:rPr>
        <w:tab/>
        <w:t>potvrdenia zdravotnej poisťovne a Sociálnej poisťovne podľa § 32 ods. 1 písm. b) a  ods. 2 písm. b) zákona,</w:t>
      </w:r>
    </w:p>
    <w:p w14:paraId="59D1C04F" w14:textId="77777777" w:rsidR="00B90824" w:rsidRPr="00BF5975" w:rsidRDefault="00B90824" w:rsidP="00B90824">
      <w:pPr>
        <w:pStyle w:val="Odsekzoznamu"/>
        <w:widowControl w:val="0"/>
        <w:tabs>
          <w:tab w:val="left" w:pos="0"/>
        </w:tabs>
        <w:spacing w:after="120" w:line="240" w:lineRule="exact"/>
        <w:ind w:hanging="360"/>
        <w:jc w:val="both"/>
        <w:rPr>
          <w:rFonts w:ascii="Arial Narrow" w:hAnsi="Arial Narrow" w:cs="Tahoma"/>
        </w:rPr>
      </w:pPr>
      <w:r w:rsidRPr="00BF5975">
        <w:rPr>
          <w:rFonts w:ascii="Arial Narrow" w:hAnsi="Arial Narrow" w:cs="Tahoma"/>
        </w:rPr>
        <w:t>-</w:t>
      </w:r>
      <w:r w:rsidRPr="00BF5975">
        <w:rPr>
          <w:rFonts w:ascii="Arial Narrow" w:hAnsi="Arial Narrow" w:cs="Tahoma"/>
        </w:rPr>
        <w:tab/>
        <w:t>potvrdenia miestne príslušného daňového úradu a miestne príslušného colného úradu podľa § 32 ods. 1 písm. c) a ods. 2 písm. c) zákona,</w:t>
      </w:r>
    </w:p>
    <w:p w14:paraId="5ECB7E8C" w14:textId="77777777" w:rsidR="00B90824" w:rsidRPr="00BF5975" w:rsidRDefault="00B90824" w:rsidP="00B90824">
      <w:pPr>
        <w:pStyle w:val="Odsekzoznamu"/>
        <w:widowControl w:val="0"/>
        <w:tabs>
          <w:tab w:val="left" w:pos="0"/>
        </w:tabs>
        <w:spacing w:after="120" w:line="240" w:lineRule="exact"/>
        <w:ind w:hanging="360"/>
        <w:jc w:val="both"/>
        <w:rPr>
          <w:rFonts w:ascii="Arial Narrow" w:hAnsi="Arial Narrow" w:cs="Tahoma"/>
        </w:rPr>
      </w:pPr>
      <w:r w:rsidRPr="00BF5975">
        <w:rPr>
          <w:rFonts w:ascii="Arial Narrow" w:hAnsi="Arial Narrow" w:cs="Tahoma"/>
        </w:rPr>
        <w:t>-</w:t>
      </w:r>
      <w:r w:rsidRPr="00BF5975">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3FC2B79F" w14:textId="77777777" w:rsidR="00B90824" w:rsidRPr="00BF5975" w:rsidRDefault="00B90824" w:rsidP="00B90824">
      <w:pPr>
        <w:autoSpaceDE w:val="0"/>
        <w:autoSpaceDN w:val="0"/>
        <w:adjustRightInd w:val="0"/>
        <w:jc w:val="both"/>
        <w:rPr>
          <w:rFonts w:ascii="Arial Narrow" w:hAnsi="Arial Narrow" w:cs="Tahoma"/>
          <w:b/>
          <w:color w:val="FF0000"/>
        </w:rPr>
      </w:pPr>
      <w:r w:rsidRPr="00BF5975">
        <w:rPr>
          <w:rFonts w:ascii="Arial Narrow" w:hAnsi="Arial Narrow" w:cs="Tahoma"/>
          <w:b/>
          <w:color w:val="FF0000"/>
        </w:rPr>
        <w:t>Upozornenie:</w:t>
      </w:r>
    </w:p>
    <w:p w14:paraId="2C0B24C8" w14:textId="77777777" w:rsidR="00B90824" w:rsidRPr="00BF5975" w:rsidRDefault="00B90824" w:rsidP="00B90824">
      <w:pPr>
        <w:pStyle w:val="Zkladntext"/>
        <w:spacing w:line="240" w:lineRule="auto"/>
        <w:jc w:val="both"/>
        <w:rPr>
          <w:rStyle w:val="Jemnzvraznenie"/>
          <w:rFonts w:ascii="Arial Narrow" w:hAnsi="Arial Narrow" w:cs="Arial"/>
          <w:b w:val="0"/>
          <w:iCs/>
          <w:sz w:val="22"/>
        </w:rPr>
      </w:pPr>
      <w:r w:rsidRPr="00BF5975">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428ED437" w14:textId="77777777" w:rsidR="00B90824" w:rsidRPr="00BF5975" w:rsidRDefault="00B90824" w:rsidP="00B90824">
      <w:pPr>
        <w:spacing w:after="120" w:line="240" w:lineRule="auto"/>
        <w:jc w:val="both"/>
        <w:rPr>
          <w:rStyle w:val="Jemnzvraznenie"/>
          <w:rFonts w:ascii="Arial Narrow" w:hAnsi="Arial Narrow"/>
          <w:b w:val="0"/>
          <w:iCs/>
          <w:sz w:val="22"/>
        </w:rPr>
      </w:pPr>
      <w:r w:rsidRPr="00BF5975">
        <w:rPr>
          <w:rStyle w:val="Jemnzvraznenie"/>
          <w:rFonts w:ascii="Arial Narrow" w:hAnsi="Arial Narrow"/>
          <w:b w:val="0"/>
          <w:sz w:val="22"/>
        </w:rPr>
        <w:t xml:space="preserve">Preukazovanie podmienok účasti je voči verejnému obstarávateľovi účinné aj spôsobom podľa § 152 ods. 4 zákona. </w:t>
      </w:r>
    </w:p>
    <w:p w14:paraId="7C70075C" w14:textId="77777777" w:rsidR="00B90824" w:rsidRPr="00BF5975" w:rsidRDefault="00B90824" w:rsidP="00B90824">
      <w:pPr>
        <w:spacing w:after="0" w:line="240" w:lineRule="auto"/>
        <w:jc w:val="both"/>
        <w:rPr>
          <w:rFonts w:ascii="Arial Narrow" w:hAnsi="Arial Narrow"/>
        </w:rPr>
      </w:pPr>
      <w:r w:rsidRPr="00BF5975">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70D75C44" w14:textId="77777777" w:rsidR="00B90824" w:rsidRPr="00BF5975" w:rsidRDefault="00B90824" w:rsidP="00B90824">
      <w:pPr>
        <w:autoSpaceDE w:val="0"/>
        <w:autoSpaceDN w:val="0"/>
        <w:adjustRightInd w:val="0"/>
        <w:spacing w:after="120" w:line="240" w:lineRule="auto"/>
        <w:jc w:val="both"/>
        <w:rPr>
          <w:rFonts w:ascii="Arial Narrow" w:hAnsi="Arial Narrow"/>
        </w:rPr>
      </w:pPr>
      <w:r w:rsidRPr="00BF5975">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BA8D973" w14:textId="77777777" w:rsidR="00B90824" w:rsidRPr="00BF5975" w:rsidRDefault="00B90824" w:rsidP="00B90824">
      <w:pPr>
        <w:pStyle w:val="Zkladntext"/>
        <w:jc w:val="both"/>
        <w:rPr>
          <w:rFonts w:ascii="Arial Narrow" w:hAnsi="Arial Narrow"/>
        </w:rPr>
      </w:pPr>
      <w:r w:rsidRPr="00BF5975">
        <w:rPr>
          <w:rFonts w:ascii="Arial Narrow" w:hAnsi="Arial Narrow"/>
        </w:rPr>
        <w:t xml:space="preserve">V prípade, že sa verejného obstarávania zúčastní skupina dodávateľov, požaduje sa preukázanie splnenia podmienok účasti týkajúcich sa osobného postavenia za každého člena skupiny osobitne. Splnenie podmienky </w:t>
      </w:r>
      <w:r w:rsidRPr="00BF5975">
        <w:rPr>
          <w:rFonts w:ascii="Arial Narrow" w:hAnsi="Arial Narrow"/>
        </w:rPr>
        <w:lastRenderedPageBreak/>
        <w:t>účasti podľa § 32 ods. 1 písm. e) zákona preukazuje člen skupiny len vo vzťahu k tej časti predmetu zákazky, ktorú má zabezpečiť.</w:t>
      </w:r>
    </w:p>
    <w:p w14:paraId="7589C374" w14:textId="5415820E" w:rsidR="00B90824" w:rsidRPr="00BF5975" w:rsidRDefault="000033A1" w:rsidP="00B90824">
      <w:pPr>
        <w:pStyle w:val="Zkladntext"/>
        <w:jc w:val="both"/>
        <w:rPr>
          <w:rFonts w:ascii="Arial Narrow" w:hAnsi="Arial Narrow"/>
        </w:rPr>
      </w:pPr>
      <w:r w:rsidRPr="00BF5975">
        <w:rPr>
          <w:rStyle w:val="Obyajntabuka31"/>
          <w:rFonts w:ascii="Arial Narrow" w:hAnsi="Arial Narrow"/>
          <w:b w:val="0"/>
          <w:sz w:val="22"/>
        </w:rPr>
        <w:t>Uchádzač</w:t>
      </w:r>
      <w:r w:rsidR="00B90824" w:rsidRPr="00BF5975">
        <w:rPr>
          <w:rStyle w:val="Obyajntabuka31"/>
          <w:rFonts w:ascii="Arial Narrow" w:hAnsi="Arial Narrow"/>
          <w:b w:val="0"/>
          <w:sz w:val="22"/>
        </w:rPr>
        <w:t xml:space="preserve"> môže predbežne nahradiť doklady na preukázanie splnenia podmienok účasti jednotným európskym dokumentom podľa § 39 ods. 1 zákona.</w:t>
      </w:r>
    </w:p>
    <w:p w14:paraId="1CD18C6A" w14:textId="6E621503" w:rsidR="003A7447" w:rsidRPr="00BF5975" w:rsidRDefault="003A7447" w:rsidP="00A81524">
      <w:pPr>
        <w:autoSpaceDE w:val="0"/>
        <w:autoSpaceDN w:val="0"/>
        <w:adjustRightInd w:val="0"/>
        <w:spacing w:after="0" w:line="240" w:lineRule="auto"/>
        <w:jc w:val="both"/>
        <w:rPr>
          <w:rFonts w:ascii="Arial Narrow" w:hAnsi="Arial Narrow"/>
          <w:b/>
        </w:rPr>
      </w:pPr>
    </w:p>
    <w:p w14:paraId="48DF5202" w14:textId="2854B201" w:rsidR="00A4442B" w:rsidRPr="00BF5975" w:rsidRDefault="00A4442B" w:rsidP="00A4442B">
      <w:pPr>
        <w:pStyle w:val="Textkomentra"/>
        <w:tabs>
          <w:tab w:val="left" w:pos="9180"/>
        </w:tabs>
        <w:jc w:val="both"/>
        <w:rPr>
          <w:rFonts w:ascii="Arial Narrow" w:hAnsi="Arial Narrow"/>
          <w:bCs/>
          <w:sz w:val="22"/>
          <w:szCs w:val="22"/>
          <w:lang w:val="sk-SK"/>
        </w:rPr>
      </w:pPr>
    </w:p>
    <w:p w14:paraId="3881E19B" w14:textId="77777777" w:rsidR="00CD714E" w:rsidRPr="00BF5975" w:rsidRDefault="00CD714E" w:rsidP="00CD714E">
      <w:pPr>
        <w:jc w:val="both"/>
        <w:rPr>
          <w:rFonts w:ascii="Arial Narrow" w:hAnsi="Arial Narrow"/>
          <w:b/>
        </w:rPr>
      </w:pPr>
      <w:r w:rsidRPr="00BF5975">
        <w:rPr>
          <w:rFonts w:ascii="Arial Narrow" w:hAnsi="Arial Narrow"/>
          <w:b/>
        </w:rPr>
        <w:t xml:space="preserve">2. Podmienky účasti uchádzačov vo verejnom obstarávaní týkajúce sa technickej spôsobilosti a odbornej spôsobilosti podľa § 34 zákona. </w:t>
      </w:r>
    </w:p>
    <w:p w14:paraId="69B8C2C2" w14:textId="288B3C8E" w:rsidR="00CD714E" w:rsidRPr="00BF5975" w:rsidRDefault="00CD714E" w:rsidP="006576F8">
      <w:pPr>
        <w:pStyle w:val="Bezriadkovania"/>
        <w:rPr>
          <w:lang w:eastAsia="sk-SK"/>
        </w:rPr>
      </w:pPr>
      <w:r w:rsidRPr="00BF5975">
        <w:rPr>
          <w:lang w:eastAsia="sk-SK"/>
        </w:rPr>
        <w:t>Podľa § 34 ods.1 písm. m) zákona</w:t>
      </w:r>
      <w:r w:rsidR="009A709C" w:rsidRPr="00BF5975">
        <w:rPr>
          <w:lang w:eastAsia="sk-SK"/>
        </w:rPr>
        <w:t xml:space="preserve"> - </w:t>
      </w:r>
      <w:r w:rsidR="009A709C" w:rsidRPr="00BF5975">
        <w:t>certifikátmi alebo potvrdeniami s jasne identifikovanými odkazmi na technické normy vzťahujúce sa na tovar, vydanými orgánmi kontroly kvality alebo určenými orgánmi s právomocou kontrolovať zhodu</w:t>
      </w:r>
      <w:r w:rsidRPr="00BF5975">
        <w:rPr>
          <w:lang w:eastAsia="sk-SK"/>
        </w:rPr>
        <w:t xml:space="preserve"> </w:t>
      </w:r>
    </w:p>
    <w:p w14:paraId="751406C7" w14:textId="0CEA56A4" w:rsidR="009A709C" w:rsidRPr="00D73FE9" w:rsidRDefault="009A709C" w:rsidP="006576F8">
      <w:pPr>
        <w:pStyle w:val="Bezriadkovania"/>
      </w:pPr>
      <w:r w:rsidRPr="00BF5975">
        <w:rPr>
          <w:rFonts w:cs="Segoe UI"/>
          <w:shd w:val="clear" w:color="auto" w:fill="FFFFFF"/>
        </w:rPr>
        <w:t xml:space="preserve">Minimálna požadovaná úroveň: </w:t>
      </w:r>
      <w:r w:rsidRPr="00BF5975">
        <w:t>Verejný obstarávateľ požaduje predložiť vyhlásenie o zhode výrobku alebo ekvivalentný doklad  v súlade s príslušnými právnymi predpismi vzťahujúcimi sa  posudzovanie zhody (zákon č. 56/2018 Z</w:t>
      </w:r>
      <w:r w:rsidR="00EF7BB5">
        <w:t>bierky</w:t>
      </w:r>
      <w:r w:rsidRPr="00BF5975">
        <w:t xml:space="preserve"> z</w:t>
      </w:r>
      <w:r w:rsidR="00EF7BB5">
        <w:t>ákonov</w:t>
      </w:r>
      <w:bookmarkStart w:id="0" w:name="_GoBack"/>
      <w:bookmarkEnd w:id="0"/>
      <w:r w:rsidRPr="00BF5975">
        <w:t xml:space="preserve"> o posudzovaní zhody výrobku, sprístupňovaní určeného výrobku na trhu a o zmene a doplnení </w:t>
      </w:r>
      <w:r w:rsidRPr="00D73FE9">
        <w:t>niektorých zákonov alebo ekvivalentná právna úprava).</w:t>
      </w:r>
    </w:p>
    <w:p w14:paraId="390C7807" w14:textId="523D3424" w:rsidR="006576F8" w:rsidRPr="00D73FE9" w:rsidRDefault="00D73FE9" w:rsidP="006576F8">
      <w:pPr>
        <w:pStyle w:val="Bezriadkovania"/>
      </w:pPr>
      <w:r w:rsidRPr="00D73FE9">
        <w:t>V</w:t>
      </w:r>
      <w:r w:rsidR="006576F8" w:rsidRPr="00D73FE9">
        <w:t xml:space="preserve">yhlásenie o zhode podľa zákona </w:t>
      </w:r>
      <w:r w:rsidR="00EF7BB5">
        <w:t>č.</w:t>
      </w:r>
      <w:r w:rsidR="006576F8" w:rsidRPr="00D73FE9">
        <w:t xml:space="preserve">56/2018 </w:t>
      </w:r>
      <w:r w:rsidR="00EF7BB5">
        <w:t xml:space="preserve">Zbierky zákonov </w:t>
      </w:r>
      <w:r w:rsidR="006576F8" w:rsidRPr="00D73FE9">
        <w:t>mus</w:t>
      </w:r>
      <w:r w:rsidR="00011BBA">
        <w:t>í</w:t>
      </w:r>
      <w:r w:rsidR="006576F8" w:rsidRPr="00D73FE9">
        <w:t xml:space="preserve"> potvrdzovať súlad s uvedenými smernicami a normami: </w:t>
      </w:r>
    </w:p>
    <w:p w14:paraId="3314DDAA" w14:textId="77777777" w:rsidR="0064141C" w:rsidRPr="00D73FE9" w:rsidRDefault="0064141C" w:rsidP="0064141C">
      <w:pPr>
        <w:pStyle w:val="Bezriadkovania"/>
      </w:pPr>
      <w:r w:rsidRPr="00D73FE9">
        <w:t>Smernice:</w:t>
      </w:r>
    </w:p>
    <w:p w14:paraId="42888764" w14:textId="77777777" w:rsidR="0064141C" w:rsidRPr="00D73FE9" w:rsidRDefault="0064141C" w:rsidP="0064141C">
      <w:pPr>
        <w:pStyle w:val="Bezriadkovania"/>
      </w:pPr>
      <w:r w:rsidRPr="00D73FE9">
        <w:t>2014/30/EU – Elektromagnetická kompatibilita</w:t>
      </w:r>
    </w:p>
    <w:p w14:paraId="0ABEEFDB" w14:textId="77777777" w:rsidR="0064141C" w:rsidRPr="00D73FE9" w:rsidRDefault="0064141C" w:rsidP="0064141C">
      <w:pPr>
        <w:pStyle w:val="Bezriadkovania"/>
      </w:pPr>
      <w:r w:rsidRPr="00D73FE9">
        <w:t>2014/35/EU - Smernica o nízkom napätí (napájanie)</w:t>
      </w:r>
    </w:p>
    <w:p w14:paraId="5A0466F2" w14:textId="77777777" w:rsidR="0064141C" w:rsidRPr="00D73FE9" w:rsidRDefault="0064141C" w:rsidP="0064141C">
      <w:pPr>
        <w:pStyle w:val="Bezriadkovania"/>
      </w:pPr>
      <w:r w:rsidRPr="00D73FE9">
        <w:t>2012/19/EU - Odpad z elektrických zariadení</w:t>
      </w:r>
    </w:p>
    <w:p w14:paraId="75EE2934" w14:textId="77777777" w:rsidR="0064141C" w:rsidRPr="00D73FE9" w:rsidRDefault="0064141C" w:rsidP="0064141C">
      <w:pPr>
        <w:pStyle w:val="Bezriadkovania"/>
      </w:pPr>
    </w:p>
    <w:p w14:paraId="4CAFA12F" w14:textId="77777777" w:rsidR="0064141C" w:rsidRPr="00D73FE9" w:rsidRDefault="0064141C" w:rsidP="0064141C">
      <w:pPr>
        <w:pStyle w:val="Bezriadkovania"/>
      </w:pPr>
      <w:r w:rsidRPr="00D73FE9">
        <w:t>Normy:</w:t>
      </w:r>
    </w:p>
    <w:p w14:paraId="7E724984" w14:textId="08C75421" w:rsidR="006576F8" w:rsidRPr="00D73FE9" w:rsidRDefault="0064141C" w:rsidP="0064141C">
      <w:pPr>
        <w:pStyle w:val="Bezriadkovania"/>
      </w:pPr>
      <w:r w:rsidRPr="00D73FE9">
        <w:t>EN 50581:2012</w:t>
      </w:r>
    </w:p>
    <w:p w14:paraId="006BDB4C" w14:textId="016DF7E9" w:rsidR="009A709C" w:rsidRPr="00BF5975" w:rsidRDefault="009A709C" w:rsidP="006576F8">
      <w:pPr>
        <w:pStyle w:val="Bezriadkovania"/>
        <w:rPr>
          <w:b/>
          <w:lang w:eastAsia="sk-SK"/>
        </w:rPr>
      </w:pPr>
      <w:r w:rsidRPr="00BF5975">
        <w:t>Predmetná podmienka účasti platí pre obe časti predmetu zákazky.</w:t>
      </w:r>
    </w:p>
    <w:p w14:paraId="273363B7" w14:textId="7247F861" w:rsidR="000B2803" w:rsidRPr="00BF5975" w:rsidRDefault="000B2803" w:rsidP="000B2803">
      <w:pPr>
        <w:spacing w:before="120" w:after="120" w:line="240" w:lineRule="auto"/>
        <w:jc w:val="both"/>
        <w:rPr>
          <w:rFonts w:ascii="Arial Narrow" w:hAnsi="Arial Narrow"/>
        </w:rPr>
      </w:pPr>
      <w:r w:rsidRPr="00BF5975">
        <w:rPr>
          <w:rFonts w:ascii="Arial Narrow" w:hAnsi="Arial Narrow"/>
        </w:rPr>
        <w:t>Vyhlásenia o zhode alebo ekvivalentné doklady, predložené za účelom preukázania splnenia podmienok účasti, tiež budú následne, v rámci hodnotenia ponúk podľa § 53 zákona, použité za účelom posúdenia splnenia požiadaviek verejného obstarávateľa na predmet zákazky.</w:t>
      </w:r>
    </w:p>
    <w:p w14:paraId="3216DF64" w14:textId="77777777" w:rsidR="00CD714E" w:rsidRPr="00BF5975" w:rsidRDefault="00CD714E" w:rsidP="00CD714E">
      <w:pPr>
        <w:spacing w:after="0" w:line="240" w:lineRule="auto"/>
        <w:jc w:val="both"/>
        <w:rPr>
          <w:rFonts w:ascii="Arial Narrow" w:hAnsi="Arial Narrow"/>
        </w:rPr>
      </w:pPr>
    </w:p>
    <w:p w14:paraId="3284DE1D" w14:textId="6636AF83" w:rsidR="00CD714E" w:rsidRPr="00BF5975" w:rsidRDefault="00CD714E" w:rsidP="00CD714E">
      <w:pPr>
        <w:spacing w:after="0" w:line="240" w:lineRule="auto"/>
        <w:jc w:val="both"/>
        <w:rPr>
          <w:rFonts w:ascii="Arial Narrow" w:hAnsi="Arial Narrow"/>
        </w:rPr>
      </w:pPr>
      <w:r w:rsidRPr="00BF5975">
        <w:rPr>
          <w:rFonts w:ascii="Arial Narrow" w:hAnsi="Arial Narrow"/>
        </w:rPr>
        <w:t xml:space="preserve">V prípade, že uchádzač využije na preukázanie technickej spôsobilosti alebo odbornej spôsobilosti technické alebo odborné kapacity inej osoby, bez ohľadu na ich právny vzťah v čase podania ponuky, je uchádzač povinný verejnému obstarávateľovi preukázať, že pri plnení </w:t>
      </w:r>
      <w:r w:rsidR="00C51088" w:rsidRPr="00BF5975">
        <w:rPr>
          <w:rFonts w:ascii="Arial Narrow" w:hAnsi="Arial Narrow"/>
        </w:rPr>
        <w:t>Rámcovej dohody</w:t>
      </w:r>
      <w:r w:rsidRPr="00BF5975">
        <w:rPr>
          <w:rFonts w:ascii="Arial Narrow" w:hAnsi="Arial Narrow"/>
        </w:rPr>
        <w:t xml:space="preserve"> bude skutočne používať kapacity osoby, ktorej spôsobilosť využíva na preukázanie technickej alebo odbornej spôsobilosti. Túto skutočnosť preukáže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oprávnenie </w:t>
      </w:r>
      <w:r w:rsidR="00C51088" w:rsidRPr="00BF5975">
        <w:rPr>
          <w:rFonts w:ascii="Arial Narrow" w:hAnsi="Arial Narrow"/>
        </w:rPr>
        <w:t>dodávať tovary</w:t>
      </w:r>
      <w:r w:rsidRPr="00BF5975">
        <w:rPr>
          <w:rFonts w:ascii="Arial Narrow" w:hAnsi="Arial Narrow"/>
        </w:rPr>
        <w:t xml:space="preserve"> preukazuje vo vzťahu k tej časti predmetu zákazky, na ktorú boli kapacity uchádzačovi poskytnuté. </w:t>
      </w:r>
    </w:p>
    <w:p w14:paraId="730A8BAE" w14:textId="3E378128" w:rsidR="007651FE" w:rsidRPr="00BF5975" w:rsidRDefault="007651FE" w:rsidP="007651FE">
      <w:pPr>
        <w:spacing w:after="0" w:line="240" w:lineRule="auto"/>
        <w:jc w:val="both"/>
        <w:rPr>
          <w:rStyle w:val="Obyajntabuka31"/>
          <w:rFonts w:ascii="Arial Narrow" w:hAnsi="Arial Narrow"/>
          <w:b w:val="0"/>
          <w:iCs w:val="0"/>
          <w:color w:val="000000"/>
          <w:sz w:val="22"/>
        </w:rPr>
      </w:pPr>
    </w:p>
    <w:sectPr w:rsidR="007651FE" w:rsidRPr="00BF5975" w:rsidSect="00932AC8">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1E067" w14:textId="77777777" w:rsidR="00CA4D3F" w:rsidRDefault="00CA4D3F" w:rsidP="002F2CF6">
      <w:pPr>
        <w:spacing w:after="0" w:line="240" w:lineRule="auto"/>
      </w:pPr>
      <w:r>
        <w:separator/>
      </w:r>
    </w:p>
  </w:endnote>
  <w:endnote w:type="continuationSeparator" w:id="0">
    <w:p w14:paraId="3C24337B" w14:textId="77777777" w:rsidR="00CA4D3F" w:rsidRDefault="00CA4D3F" w:rsidP="002F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6E1D8" w14:textId="40390288" w:rsidR="00C4474E" w:rsidRPr="00932AC8" w:rsidRDefault="00C4474E">
    <w:pPr>
      <w:pStyle w:val="Pta"/>
      <w:jc w:val="right"/>
      <w:rPr>
        <w:rFonts w:ascii="Arial Narrow" w:hAnsi="Arial Narrow"/>
        <w:sz w:val="20"/>
        <w:szCs w:val="20"/>
      </w:rPr>
    </w:pPr>
    <w:r w:rsidRPr="00C4474E">
      <w:rPr>
        <w:rFonts w:ascii="Arial Narrow" w:hAnsi="Arial Narrow"/>
        <w:sz w:val="20"/>
        <w:szCs w:val="20"/>
      </w:rPr>
      <w:fldChar w:fldCharType="begin"/>
    </w:r>
    <w:r w:rsidRPr="00932AC8">
      <w:rPr>
        <w:rFonts w:ascii="Arial Narrow" w:hAnsi="Arial Narrow"/>
        <w:sz w:val="20"/>
        <w:szCs w:val="20"/>
      </w:rPr>
      <w:instrText>PAGE   \* MERGEFORMAT</w:instrText>
    </w:r>
    <w:r w:rsidRPr="00C4474E">
      <w:rPr>
        <w:rFonts w:ascii="Arial Narrow" w:hAnsi="Arial Narrow"/>
        <w:sz w:val="20"/>
        <w:szCs w:val="20"/>
      </w:rPr>
      <w:fldChar w:fldCharType="separate"/>
    </w:r>
    <w:r w:rsidR="00EF7BB5">
      <w:rPr>
        <w:rFonts w:ascii="Arial Narrow" w:hAnsi="Arial Narrow"/>
        <w:noProof/>
        <w:sz w:val="20"/>
        <w:szCs w:val="20"/>
      </w:rPr>
      <w:t>3</w:t>
    </w:r>
    <w:r w:rsidRPr="00C4474E">
      <w:rPr>
        <w:rFonts w:ascii="Arial Narrow" w:hAnsi="Arial Narrow"/>
        <w:sz w:val="20"/>
        <w:szCs w:val="20"/>
      </w:rPr>
      <w:fldChar w:fldCharType="end"/>
    </w:r>
  </w:p>
  <w:p w14:paraId="7332FD79" w14:textId="77777777" w:rsidR="00C4474E" w:rsidRDefault="00C447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7BE62" w14:textId="77777777" w:rsidR="00CA4D3F" w:rsidRDefault="00CA4D3F" w:rsidP="002F2CF6">
      <w:pPr>
        <w:spacing w:after="0" w:line="240" w:lineRule="auto"/>
      </w:pPr>
      <w:r>
        <w:separator/>
      </w:r>
    </w:p>
  </w:footnote>
  <w:footnote w:type="continuationSeparator" w:id="0">
    <w:p w14:paraId="0DFF7CB9" w14:textId="77777777" w:rsidR="00CA4D3F" w:rsidRDefault="00CA4D3F" w:rsidP="002F2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BA37" w14:textId="77777777" w:rsidR="00593C06" w:rsidRPr="00EF1110" w:rsidRDefault="00593C06">
    <w:pPr>
      <w:pStyle w:val="Hlavika"/>
      <w:rPr>
        <w:b/>
      </w:rPr>
    </w:pPr>
    <w:r>
      <w:tab/>
    </w:r>
    <w:r>
      <w:tab/>
    </w:r>
    <w:r w:rsidRPr="00EF1110">
      <w:rPr>
        <w:rFonts w:ascii="Arial Narrow" w:hAnsi="Arial Narrow"/>
        <w:b/>
      </w:rPr>
      <w:t>Príloha č. 5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780A"/>
    <w:multiLevelType w:val="hybridMultilevel"/>
    <w:tmpl w:val="C8945024"/>
    <w:lvl w:ilvl="0" w:tplc="041B0001">
      <w:start w:val="1"/>
      <w:numFmt w:val="bullet"/>
      <w:lvlText w:val=""/>
      <w:lvlJc w:val="left"/>
      <w:pPr>
        <w:ind w:left="1335" w:hanging="360"/>
      </w:pPr>
      <w:rPr>
        <w:rFonts w:ascii="Symbol" w:hAnsi="Symbol" w:hint="default"/>
      </w:rPr>
    </w:lvl>
    <w:lvl w:ilvl="1" w:tplc="EFB0ED42">
      <w:start w:val="1"/>
      <w:numFmt w:val="bullet"/>
      <w:lvlText w:val="-"/>
      <w:lvlJc w:val="left"/>
      <w:pPr>
        <w:ind w:left="2055" w:hanging="360"/>
      </w:pPr>
      <w:rPr>
        <w:rFonts w:ascii="Times New Roman" w:eastAsia="Calibri" w:hAnsi="Times New Roman" w:cs="Times New Roman" w:hint="default"/>
      </w:rPr>
    </w:lvl>
    <w:lvl w:ilvl="2" w:tplc="041B0005" w:tentative="1">
      <w:start w:val="1"/>
      <w:numFmt w:val="bullet"/>
      <w:lvlText w:val=""/>
      <w:lvlJc w:val="left"/>
      <w:pPr>
        <w:ind w:left="2775" w:hanging="360"/>
      </w:pPr>
      <w:rPr>
        <w:rFonts w:ascii="Wingdings" w:hAnsi="Wingdings" w:hint="default"/>
      </w:rPr>
    </w:lvl>
    <w:lvl w:ilvl="3" w:tplc="041B0001" w:tentative="1">
      <w:start w:val="1"/>
      <w:numFmt w:val="bullet"/>
      <w:lvlText w:val=""/>
      <w:lvlJc w:val="left"/>
      <w:pPr>
        <w:ind w:left="3495" w:hanging="360"/>
      </w:pPr>
      <w:rPr>
        <w:rFonts w:ascii="Symbol" w:hAnsi="Symbol" w:hint="default"/>
      </w:rPr>
    </w:lvl>
    <w:lvl w:ilvl="4" w:tplc="041B0003" w:tentative="1">
      <w:start w:val="1"/>
      <w:numFmt w:val="bullet"/>
      <w:lvlText w:val="o"/>
      <w:lvlJc w:val="left"/>
      <w:pPr>
        <w:ind w:left="4215" w:hanging="360"/>
      </w:pPr>
      <w:rPr>
        <w:rFonts w:ascii="Courier New" w:hAnsi="Courier New" w:cs="Courier New" w:hint="default"/>
      </w:rPr>
    </w:lvl>
    <w:lvl w:ilvl="5" w:tplc="041B0005" w:tentative="1">
      <w:start w:val="1"/>
      <w:numFmt w:val="bullet"/>
      <w:lvlText w:val=""/>
      <w:lvlJc w:val="left"/>
      <w:pPr>
        <w:ind w:left="4935" w:hanging="360"/>
      </w:pPr>
      <w:rPr>
        <w:rFonts w:ascii="Wingdings" w:hAnsi="Wingdings" w:hint="default"/>
      </w:rPr>
    </w:lvl>
    <w:lvl w:ilvl="6" w:tplc="041B0001" w:tentative="1">
      <w:start w:val="1"/>
      <w:numFmt w:val="bullet"/>
      <w:lvlText w:val=""/>
      <w:lvlJc w:val="left"/>
      <w:pPr>
        <w:ind w:left="5655" w:hanging="360"/>
      </w:pPr>
      <w:rPr>
        <w:rFonts w:ascii="Symbol" w:hAnsi="Symbol" w:hint="default"/>
      </w:rPr>
    </w:lvl>
    <w:lvl w:ilvl="7" w:tplc="041B0003" w:tentative="1">
      <w:start w:val="1"/>
      <w:numFmt w:val="bullet"/>
      <w:lvlText w:val="o"/>
      <w:lvlJc w:val="left"/>
      <w:pPr>
        <w:ind w:left="6375" w:hanging="360"/>
      </w:pPr>
      <w:rPr>
        <w:rFonts w:ascii="Courier New" w:hAnsi="Courier New" w:cs="Courier New" w:hint="default"/>
      </w:rPr>
    </w:lvl>
    <w:lvl w:ilvl="8" w:tplc="041B0005" w:tentative="1">
      <w:start w:val="1"/>
      <w:numFmt w:val="bullet"/>
      <w:lvlText w:val=""/>
      <w:lvlJc w:val="left"/>
      <w:pPr>
        <w:ind w:left="7095" w:hanging="360"/>
      </w:pPr>
      <w:rPr>
        <w:rFonts w:ascii="Wingdings" w:hAnsi="Wingdings" w:hint="default"/>
      </w:rPr>
    </w:lvl>
  </w:abstractNum>
  <w:abstractNum w:abstractNumId="1" w15:restartNumberingAfterBreak="0">
    <w:nsid w:val="204825EE"/>
    <w:multiLevelType w:val="hybridMultilevel"/>
    <w:tmpl w:val="46327A8E"/>
    <w:lvl w:ilvl="0" w:tplc="D5860118">
      <w:start w:val="2"/>
      <w:numFmt w:val="bullet"/>
      <w:lvlText w:val="-"/>
      <w:lvlJc w:val="left"/>
      <w:pPr>
        <w:ind w:left="927" w:hanging="360"/>
      </w:pPr>
      <w:rPr>
        <w:rFonts w:ascii="Arial Narrow" w:eastAsia="Calibri" w:hAnsi="Arial Narrow" w:cs="Times New Roman" w:hint="default"/>
        <w:b/>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 w15:restartNumberingAfterBreak="0">
    <w:nsid w:val="31FC4FE9"/>
    <w:multiLevelType w:val="hybridMultilevel"/>
    <w:tmpl w:val="56B03A64"/>
    <w:lvl w:ilvl="0" w:tplc="5A92E9AE">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A2E344E"/>
    <w:multiLevelType w:val="multilevel"/>
    <w:tmpl w:val="4D2E4392"/>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5" w15:restartNumberingAfterBreak="0">
    <w:nsid w:val="43572401"/>
    <w:multiLevelType w:val="multilevel"/>
    <w:tmpl w:val="CFB01412"/>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 w15:restartNumberingAfterBreak="0">
    <w:nsid w:val="46200FDA"/>
    <w:multiLevelType w:val="hybridMultilevel"/>
    <w:tmpl w:val="863638FA"/>
    <w:lvl w:ilvl="0" w:tplc="8CBA56E2">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00B0326"/>
    <w:multiLevelType w:val="hybridMultilevel"/>
    <w:tmpl w:val="7DEE9E7E"/>
    <w:lvl w:ilvl="0" w:tplc="327C2CA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561A79E5"/>
    <w:multiLevelType w:val="hybridMultilevel"/>
    <w:tmpl w:val="2AEAD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1" w15:restartNumberingAfterBreak="0">
    <w:nsid w:val="5E0B087A"/>
    <w:multiLevelType w:val="multilevel"/>
    <w:tmpl w:val="1260422A"/>
    <w:lvl w:ilvl="0">
      <w:start w:val="3"/>
      <w:numFmt w:val="decimal"/>
      <w:lvlText w:val="%1"/>
      <w:lvlJc w:val="left"/>
      <w:pPr>
        <w:ind w:left="360" w:hanging="360"/>
      </w:pPr>
      <w:rPr>
        <w:rFonts w:eastAsia="Calibri" w:cs="Times New Roman" w:hint="default"/>
      </w:rPr>
    </w:lvl>
    <w:lvl w:ilvl="1">
      <w:start w:val="2"/>
      <w:numFmt w:val="decimal"/>
      <w:lvlText w:val="%1.%2"/>
      <w:lvlJc w:val="left"/>
      <w:pPr>
        <w:ind w:left="360" w:hanging="360"/>
      </w:pPr>
      <w:rPr>
        <w:rFonts w:eastAsia="Calibri" w:cs="Times New Roman" w:hint="default"/>
        <w:b/>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720" w:hanging="72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080" w:hanging="108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2"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1713BA2"/>
    <w:multiLevelType w:val="multilevel"/>
    <w:tmpl w:val="E0F0F0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7E817AE1"/>
    <w:multiLevelType w:val="hybridMultilevel"/>
    <w:tmpl w:val="B0A88F76"/>
    <w:lvl w:ilvl="0" w:tplc="1AAEDFD8">
      <w:numFmt w:val="bullet"/>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7F4E1C34"/>
    <w:multiLevelType w:val="hybridMultilevel"/>
    <w:tmpl w:val="3E78FFE6"/>
    <w:lvl w:ilvl="0" w:tplc="B63A3D10">
      <w:start w:val="1"/>
      <w:numFmt w:val="decimal"/>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
  </w:num>
  <w:num w:numId="3">
    <w:abstractNumId w:val="8"/>
  </w:num>
  <w:num w:numId="4">
    <w:abstractNumId w:val="12"/>
  </w:num>
  <w:num w:numId="5">
    <w:abstractNumId w:val="6"/>
  </w:num>
  <w:num w:numId="6">
    <w:abstractNumId w:val="0"/>
  </w:num>
  <w:num w:numId="7">
    <w:abstractNumId w:val="5"/>
  </w:num>
  <w:num w:numId="8">
    <w:abstractNumId w:val="11"/>
  </w:num>
  <w:num w:numId="9">
    <w:abstractNumId w:val="4"/>
  </w:num>
  <w:num w:numId="10">
    <w:abstractNumId w:val="14"/>
  </w:num>
  <w:num w:numId="11">
    <w:abstractNumId w:val="13"/>
  </w:num>
  <w:num w:numId="12">
    <w:abstractNumId w:val="7"/>
  </w:num>
  <w:num w:numId="13">
    <w:abstractNumId w:val="3"/>
  </w:num>
  <w:num w:numId="14">
    <w:abstractNumId w:val="15"/>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1FE"/>
    <w:rsid w:val="000033A1"/>
    <w:rsid w:val="00011BBA"/>
    <w:rsid w:val="00016D46"/>
    <w:rsid w:val="000229E0"/>
    <w:rsid w:val="000265D5"/>
    <w:rsid w:val="0002796A"/>
    <w:rsid w:val="000375C5"/>
    <w:rsid w:val="000411B7"/>
    <w:rsid w:val="000467E7"/>
    <w:rsid w:val="0006714D"/>
    <w:rsid w:val="00074DA8"/>
    <w:rsid w:val="00077D7B"/>
    <w:rsid w:val="000B2803"/>
    <w:rsid w:val="000C34B1"/>
    <w:rsid w:val="000C6BFF"/>
    <w:rsid w:val="000E053E"/>
    <w:rsid w:val="00101F10"/>
    <w:rsid w:val="00125322"/>
    <w:rsid w:val="00131BA7"/>
    <w:rsid w:val="001871F5"/>
    <w:rsid w:val="0019653E"/>
    <w:rsid w:val="001979FF"/>
    <w:rsid w:val="00197D66"/>
    <w:rsid w:val="001B173F"/>
    <w:rsid w:val="001C5EF2"/>
    <w:rsid w:val="001D1234"/>
    <w:rsid w:val="001D586B"/>
    <w:rsid w:val="001D6C98"/>
    <w:rsid w:val="001E076B"/>
    <w:rsid w:val="001E2D27"/>
    <w:rsid w:val="001F0E86"/>
    <w:rsid w:val="0021423A"/>
    <w:rsid w:val="002228F3"/>
    <w:rsid w:val="002344AF"/>
    <w:rsid w:val="00244DB7"/>
    <w:rsid w:val="0024710B"/>
    <w:rsid w:val="00266139"/>
    <w:rsid w:val="00275791"/>
    <w:rsid w:val="00283EC0"/>
    <w:rsid w:val="00287E6B"/>
    <w:rsid w:val="002950BB"/>
    <w:rsid w:val="002C0EB5"/>
    <w:rsid w:val="002D4697"/>
    <w:rsid w:val="002F2CF6"/>
    <w:rsid w:val="002F5780"/>
    <w:rsid w:val="00301422"/>
    <w:rsid w:val="003042DE"/>
    <w:rsid w:val="0033257F"/>
    <w:rsid w:val="00336F13"/>
    <w:rsid w:val="0035513E"/>
    <w:rsid w:val="00366424"/>
    <w:rsid w:val="003665DF"/>
    <w:rsid w:val="00384934"/>
    <w:rsid w:val="003A7447"/>
    <w:rsid w:val="003B40B0"/>
    <w:rsid w:val="003C3224"/>
    <w:rsid w:val="003C5FE3"/>
    <w:rsid w:val="003D4CC2"/>
    <w:rsid w:val="003E1434"/>
    <w:rsid w:val="004000DF"/>
    <w:rsid w:val="00400237"/>
    <w:rsid w:val="0041117E"/>
    <w:rsid w:val="00411AC6"/>
    <w:rsid w:val="0042183F"/>
    <w:rsid w:val="004234B3"/>
    <w:rsid w:val="004270F5"/>
    <w:rsid w:val="00435AAA"/>
    <w:rsid w:val="00443728"/>
    <w:rsid w:val="00481F73"/>
    <w:rsid w:val="0048472D"/>
    <w:rsid w:val="0048682B"/>
    <w:rsid w:val="004909E2"/>
    <w:rsid w:val="004B1510"/>
    <w:rsid w:val="004B2D2D"/>
    <w:rsid w:val="004B5993"/>
    <w:rsid w:val="004B6104"/>
    <w:rsid w:val="004D08F1"/>
    <w:rsid w:val="004D2AA1"/>
    <w:rsid w:val="004E1011"/>
    <w:rsid w:val="004E171C"/>
    <w:rsid w:val="004E48FC"/>
    <w:rsid w:val="004E63B5"/>
    <w:rsid w:val="00505AA6"/>
    <w:rsid w:val="00505EE3"/>
    <w:rsid w:val="00521839"/>
    <w:rsid w:val="005228D4"/>
    <w:rsid w:val="00530595"/>
    <w:rsid w:val="00540DD9"/>
    <w:rsid w:val="00544E63"/>
    <w:rsid w:val="005540C1"/>
    <w:rsid w:val="005623CE"/>
    <w:rsid w:val="005676A3"/>
    <w:rsid w:val="00585E5D"/>
    <w:rsid w:val="00593C06"/>
    <w:rsid w:val="005A7CB3"/>
    <w:rsid w:val="005D0C00"/>
    <w:rsid w:val="005D2FF1"/>
    <w:rsid w:val="005F7F58"/>
    <w:rsid w:val="00612427"/>
    <w:rsid w:val="00612DB3"/>
    <w:rsid w:val="00615FAB"/>
    <w:rsid w:val="006207CF"/>
    <w:rsid w:val="00626E8D"/>
    <w:rsid w:val="0064141C"/>
    <w:rsid w:val="006435C6"/>
    <w:rsid w:val="006473DC"/>
    <w:rsid w:val="00647B4F"/>
    <w:rsid w:val="0065519D"/>
    <w:rsid w:val="006576F8"/>
    <w:rsid w:val="00660B57"/>
    <w:rsid w:val="006744A6"/>
    <w:rsid w:val="006959DA"/>
    <w:rsid w:val="006B40D5"/>
    <w:rsid w:val="006C7B78"/>
    <w:rsid w:val="006E6DE9"/>
    <w:rsid w:val="006F0026"/>
    <w:rsid w:val="006F3197"/>
    <w:rsid w:val="006F654B"/>
    <w:rsid w:val="00700231"/>
    <w:rsid w:val="00703F44"/>
    <w:rsid w:val="00713D5B"/>
    <w:rsid w:val="0071436B"/>
    <w:rsid w:val="0073590D"/>
    <w:rsid w:val="0075157F"/>
    <w:rsid w:val="0075271D"/>
    <w:rsid w:val="00761371"/>
    <w:rsid w:val="007651FE"/>
    <w:rsid w:val="0077221A"/>
    <w:rsid w:val="0078297A"/>
    <w:rsid w:val="00790D7E"/>
    <w:rsid w:val="007A6695"/>
    <w:rsid w:val="007B1EFE"/>
    <w:rsid w:val="007C4970"/>
    <w:rsid w:val="007D6987"/>
    <w:rsid w:val="007E7E11"/>
    <w:rsid w:val="007F1FC2"/>
    <w:rsid w:val="007F647F"/>
    <w:rsid w:val="00800AE1"/>
    <w:rsid w:val="0080159A"/>
    <w:rsid w:val="008028A0"/>
    <w:rsid w:val="00804189"/>
    <w:rsid w:val="00804DBD"/>
    <w:rsid w:val="00812408"/>
    <w:rsid w:val="0082623A"/>
    <w:rsid w:val="008366F1"/>
    <w:rsid w:val="008452B0"/>
    <w:rsid w:val="00867B41"/>
    <w:rsid w:val="008919B2"/>
    <w:rsid w:val="00892235"/>
    <w:rsid w:val="008B3B31"/>
    <w:rsid w:val="008B7C2D"/>
    <w:rsid w:val="008E4706"/>
    <w:rsid w:val="008E7B85"/>
    <w:rsid w:val="008F1596"/>
    <w:rsid w:val="008F4308"/>
    <w:rsid w:val="00905BC6"/>
    <w:rsid w:val="009104B5"/>
    <w:rsid w:val="00917B27"/>
    <w:rsid w:val="00932AC8"/>
    <w:rsid w:val="0093608A"/>
    <w:rsid w:val="00947ECF"/>
    <w:rsid w:val="0096122A"/>
    <w:rsid w:val="00974834"/>
    <w:rsid w:val="00984093"/>
    <w:rsid w:val="00995000"/>
    <w:rsid w:val="009A0284"/>
    <w:rsid w:val="009A056C"/>
    <w:rsid w:val="009A709C"/>
    <w:rsid w:val="009B1227"/>
    <w:rsid w:val="009C1B26"/>
    <w:rsid w:val="009C1BF2"/>
    <w:rsid w:val="009E566F"/>
    <w:rsid w:val="009F3321"/>
    <w:rsid w:val="00A16EB9"/>
    <w:rsid w:val="00A16FBB"/>
    <w:rsid w:val="00A27EBD"/>
    <w:rsid w:val="00A31471"/>
    <w:rsid w:val="00A4442B"/>
    <w:rsid w:val="00A57695"/>
    <w:rsid w:val="00A75341"/>
    <w:rsid w:val="00A81524"/>
    <w:rsid w:val="00A83C23"/>
    <w:rsid w:val="00A93B01"/>
    <w:rsid w:val="00AA7E60"/>
    <w:rsid w:val="00AB14BF"/>
    <w:rsid w:val="00AB3299"/>
    <w:rsid w:val="00AB5CA9"/>
    <w:rsid w:val="00AC65A5"/>
    <w:rsid w:val="00AC7F8D"/>
    <w:rsid w:val="00AD7824"/>
    <w:rsid w:val="00AE5F6C"/>
    <w:rsid w:val="00B16B83"/>
    <w:rsid w:val="00B30267"/>
    <w:rsid w:val="00B367DC"/>
    <w:rsid w:val="00B41DB5"/>
    <w:rsid w:val="00B4397D"/>
    <w:rsid w:val="00B51FF3"/>
    <w:rsid w:val="00B5297B"/>
    <w:rsid w:val="00B61741"/>
    <w:rsid w:val="00B90824"/>
    <w:rsid w:val="00B93BE9"/>
    <w:rsid w:val="00BA550B"/>
    <w:rsid w:val="00BB47F0"/>
    <w:rsid w:val="00BB5721"/>
    <w:rsid w:val="00BB6598"/>
    <w:rsid w:val="00BC7A9D"/>
    <w:rsid w:val="00BD2D25"/>
    <w:rsid w:val="00BD4CE4"/>
    <w:rsid w:val="00BE4C4B"/>
    <w:rsid w:val="00BF2F20"/>
    <w:rsid w:val="00BF5975"/>
    <w:rsid w:val="00BF768B"/>
    <w:rsid w:val="00C05CA0"/>
    <w:rsid w:val="00C2198A"/>
    <w:rsid w:val="00C3480B"/>
    <w:rsid w:val="00C4474E"/>
    <w:rsid w:val="00C51088"/>
    <w:rsid w:val="00C61243"/>
    <w:rsid w:val="00C6773F"/>
    <w:rsid w:val="00C74BBC"/>
    <w:rsid w:val="00C8347A"/>
    <w:rsid w:val="00C945EE"/>
    <w:rsid w:val="00CA0DAB"/>
    <w:rsid w:val="00CA4D3F"/>
    <w:rsid w:val="00CA608A"/>
    <w:rsid w:val="00CB25C6"/>
    <w:rsid w:val="00CC0357"/>
    <w:rsid w:val="00CC142D"/>
    <w:rsid w:val="00CC40F1"/>
    <w:rsid w:val="00CD714E"/>
    <w:rsid w:val="00CF79F1"/>
    <w:rsid w:val="00D0183C"/>
    <w:rsid w:val="00D03DEA"/>
    <w:rsid w:val="00D1581A"/>
    <w:rsid w:val="00D161E8"/>
    <w:rsid w:val="00D23749"/>
    <w:rsid w:val="00D27B76"/>
    <w:rsid w:val="00D31CF4"/>
    <w:rsid w:val="00D564E2"/>
    <w:rsid w:val="00D579D4"/>
    <w:rsid w:val="00D61731"/>
    <w:rsid w:val="00D6222E"/>
    <w:rsid w:val="00D73FE9"/>
    <w:rsid w:val="00D74DFD"/>
    <w:rsid w:val="00D75FB4"/>
    <w:rsid w:val="00D76C31"/>
    <w:rsid w:val="00D8128F"/>
    <w:rsid w:val="00D903CE"/>
    <w:rsid w:val="00D94A99"/>
    <w:rsid w:val="00D954B2"/>
    <w:rsid w:val="00D95C3F"/>
    <w:rsid w:val="00DA05C0"/>
    <w:rsid w:val="00DA4C4A"/>
    <w:rsid w:val="00DB3D0D"/>
    <w:rsid w:val="00DC24CA"/>
    <w:rsid w:val="00DE5DD9"/>
    <w:rsid w:val="00DF02D0"/>
    <w:rsid w:val="00E031C1"/>
    <w:rsid w:val="00E05BE3"/>
    <w:rsid w:val="00E321B5"/>
    <w:rsid w:val="00E345CC"/>
    <w:rsid w:val="00E36A76"/>
    <w:rsid w:val="00E42E50"/>
    <w:rsid w:val="00E42EA3"/>
    <w:rsid w:val="00E64417"/>
    <w:rsid w:val="00E672C2"/>
    <w:rsid w:val="00E83370"/>
    <w:rsid w:val="00E850C8"/>
    <w:rsid w:val="00EA5F7A"/>
    <w:rsid w:val="00EB5DE6"/>
    <w:rsid w:val="00EF1110"/>
    <w:rsid w:val="00EF31EB"/>
    <w:rsid w:val="00EF7BB5"/>
    <w:rsid w:val="00F01AB1"/>
    <w:rsid w:val="00F01C1A"/>
    <w:rsid w:val="00F0572E"/>
    <w:rsid w:val="00F248B9"/>
    <w:rsid w:val="00F33246"/>
    <w:rsid w:val="00F72C10"/>
    <w:rsid w:val="00F94D9A"/>
    <w:rsid w:val="00F95EAD"/>
    <w:rsid w:val="00FA33B8"/>
    <w:rsid w:val="00FB561F"/>
    <w:rsid w:val="00FB7065"/>
    <w:rsid w:val="00FD6090"/>
    <w:rsid w:val="00FF0225"/>
    <w:rsid w:val="00FF24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3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51FE"/>
    <w:pPr>
      <w:spacing w:after="160" w:line="259" w:lineRule="auto"/>
    </w:pPr>
    <w:rPr>
      <w:sz w:val="22"/>
      <w:szCs w:val="22"/>
      <w:lang w:eastAsia="en-US"/>
    </w:rPr>
  </w:style>
  <w:style w:type="paragraph" w:styleId="Nadpis2">
    <w:name w:val="heading 2"/>
    <w:basedOn w:val="Normlny"/>
    <w:next w:val="Normlny"/>
    <w:link w:val="Nadpis2Char"/>
    <w:uiPriority w:val="9"/>
    <w:unhideWhenUsed/>
    <w:qFormat/>
    <w:rsid w:val="003A744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byajntabuka31">
    <w:name w:val="Obyčajná tabuľka 31"/>
    <w:aliases w:val="klasika"/>
    <w:uiPriority w:val="19"/>
    <w:qFormat/>
    <w:rsid w:val="007651FE"/>
    <w:rPr>
      <w:rFonts w:ascii="Times New Roman" w:hAnsi="Times New Roman"/>
      <w:b/>
      <w:iCs/>
      <w:color w:val="auto"/>
      <w:sz w:val="30"/>
    </w:rPr>
  </w:style>
  <w:style w:type="character" w:styleId="Hypertextovprepojenie">
    <w:name w:val="Hyperlink"/>
    <w:uiPriority w:val="99"/>
    <w:unhideWhenUsed/>
    <w:rsid w:val="007651FE"/>
    <w:rPr>
      <w:color w:val="0563C1"/>
      <w:u w:val="single"/>
    </w:rPr>
  </w:style>
  <w:style w:type="paragraph" w:styleId="Textkomentra">
    <w:name w:val="annotation text"/>
    <w:basedOn w:val="Normlny"/>
    <w:link w:val="TextkomentraChar"/>
    <w:uiPriority w:val="99"/>
    <w:rsid w:val="007651FE"/>
    <w:pPr>
      <w:widowControl w:val="0"/>
      <w:spacing w:after="0" w:line="240" w:lineRule="auto"/>
    </w:pPr>
    <w:rPr>
      <w:rFonts w:ascii="Times New Roman" w:eastAsia="Times New Roman" w:hAnsi="Times New Roman"/>
      <w:sz w:val="20"/>
      <w:szCs w:val="20"/>
      <w:lang w:val="en-GB" w:eastAsia="en-GB"/>
    </w:rPr>
  </w:style>
  <w:style w:type="character" w:customStyle="1" w:styleId="TextkomentraChar">
    <w:name w:val="Text komentára Char"/>
    <w:link w:val="Textkomentra"/>
    <w:uiPriority w:val="99"/>
    <w:rsid w:val="007651FE"/>
    <w:rPr>
      <w:rFonts w:ascii="Times New Roman" w:eastAsia="Times New Roman" w:hAnsi="Times New Roman" w:cs="Times New Roman"/>
      <w:sz w:val="20"/>
      <w:szCs w:val="20"/>
      <w:lang w:val="en-GB" w:eastAsia="en-GB"/>
    </w:rPr>
  </w:style>
  <w:style w:type="character" w:styleId="Odkaznakomentr">
    <w:name w:val="annotation reference"/>
    <w:uiPriority w:val="99"/>
    <w:semiHidden/>
    <w:unhideWhenUsed/>
    <w:rsid w:val="007651FE"/>
    <w:rPr>
      <w:sz w:val="16"/>
      <w:szCs w:val="16"/>
    </w:rPr>
  </w:style>
  <w:style w:type="paragraph" w:customStyle="1" w:styleId="Farebnzoznamzvraznenie11">
    <w:name w:val="Farebný zoznam – zvýraznenie 11"/>
    <w:basedOn w:val="Normlny"/>
    <w:uiPriority w:val="34"/>
    <w:qFormat/>
    <w:rsid w:val="007651FE"/>
    <w:pPr>
      <w:ind w:left="720"/>
      <w:contextualSpacing/>
    </w:pPr>
  </w:style>
  <w:style w:type="paragraph" w:styleId="Textbubliny">
    <w:name w:val="Balloon Text"/>
    <w:basedOn w:val="Normlny"/>
    <w:link w:val="TextbublinyChar"/>
    <w:uiPriority w:val="99"/>
    <w:semiHidden/>
    <w:unhideWhenUsed/>
    <w:rsid w:val="007651FE"/>
    <w:pPr>
      <w:spacing w:after="0" w:line="240" w:lineRule="auto"/>
    </w:pPr>
    <w:rPr>
      <w:rFonts w:ascii="Segoe UI" w:hAnsi="Segoe UI"/>
      <w:sz w:val="18"/>
      <w:szCs w:val="18"/>
    </w:rPr>
  </w:style>
  <w:style w:type="character" w:customStyle="1" w:styleId="TextbublinyChar">
    <w:name w:val="Text bubliny Char"/>
    <w:link w:val="Textbubliny"/>
    <w:uiPriority w:val="99"/>
    <w:semiHidden/>
    <w:rsid w:val="007651FE"/>
    <w:rPr>
      <w:rFonts w:ascii="Segoe UI" w:eastAsia="Calibri" w:hAnsi="Segoe UI" w:cs="Times New Roman"/>
      <w:sz w:val="18"/>
      <w:szCs w:val="18"/>
    </w:rPr>
  </w:style>
  <w:style w:type="paragraph" w:styleId="Predmetkomentra">
    <w:name w:val="annotation subject"/>
    <w:basedOn w:val="Textkomentra"/>
    <w:next w:val="Textkomentra"/>
    <w:link w:val="PredmetkomentraChar"/>
    <w:uiPriority w:val="99"/>
    <w:semiHidden/>
    <w:unhideWhenUsed/>
    <w:rsid w:val="0041117E"/>
    <w:pPr>
      <w:widowControl/>
      <w:spacing w:after="160"/>
    </w:pPr>
    <w:rPr>
      <w:rFonts w:ascii="Calibri" w:eastAsia="Calibri" w:hAnsi="Calibri"/>
      <w:b/>
      <w:bCs/>
      <w:lang w:val="sk-SK" w:eastAsia="en-US"/>
    </w:rPr>
  </w:style>
  <w:style w:type="character" w:customStyle="1" w:styleId="PredmetkomentraChar">
    <w:name w:val="Predmet komentára Char"/>
    <w:link w:val="Predmetkomentra"/>
    <w:uiPriority w:val="99"/>
    <w:semiHidden/>
    <w:rsid w:val="0041117E"/>
    <w:rPr>
      <w:rFonts w:ascii="Calibri" w:eastAsia="Calibri" w:hAnsi="Calibri" w:cs="Times New Roman"/>
      <w:b/>
      <w:bCs/>
      <w:sz w:val="20"/>
      <w:szCs w:val="20"/>
      <w:lang w:val="en-GB" w:eastAsia="en-GB"/>
    </w:rPr>
  </w:style>
  <w:style w:type="paragraph" w:styleId="Hlavika">
    <w:name w:val="header"/>
    <w:basedOn w:val="Normlny"/>
    <w:link w:val="HlavikaChar"/>
    <w:uiPriority w:val="99"/>
    <w:unhideWhenUsed/>
    <w:rsid w:val="002F2CF6"/>
    <w:pPr>
      <w:tabs>
        <w:tab w:val="center" w:pos="4536"/>
        <w:tab w:val="right" w:pos="9072"/>
      </w:tabs>
    </w:pPr>
  </w:style>
  <w:style w:type="character" w:customStyle="1" w:styleId="HlavikaChar">
    <w:name w:val="Hlavička Char"/>
    <w:link w:val="Hlavika"/>
    <w:uiPriority w:val="99"/>
    <w:rsid w:val="002F2CF6"/>
    <w:rPr>
      <w:sz w:val="22"/>
      <w:szCs w:val="22"/>
      <w:lang w:eastAsia="en-US"/>
    </w:rPr>
  </w:style>
  <w:style w:type="paragraph" w:styleId="Pta">
    <w:name w:val="footer"/>
    <w:basedOn w:val="Normlny"/>
    <w:link w:val="PtaChar"/>
    <w:uiPriority w:val="99"/>
    <w:unhideWhenUsed/>
    <w:rsid w:val="002F2CF6"/>
    <w:pPr>
      <w:tabs>
        <w:tab w:val="center" w:pos="4536"/>
        <w:tab w:val="right" w:pos="9072"/>
      </w:tabs>
    </w:pPr>
  </w:style>
  <w:style w:type="character" w:customStyle="1" w:styleId="PtaChar">
    <w:name w:val="Päta Char"/>
    <w:link w:val="Pta"/>
    <w:uiPriority w:val="99"/>
    <w:rsid w:val="002F2CF6"/>
    <w:rPr>
      <w:sz w:val="22"/>
      <w:szCs w:val="22"/>
      <w:lang w:eastAsia="en-US"/>
    </w:rPr>
  </w:style>
  <w:style w:type="paragraph" w:styleId="Odsekzoznamu">
    <w:name w:val="List Paragraph"/>
    <w:aliases w:val="body,List Paragraph"/>
    <w:basedOn w:val="Normlny"/>
    <w:link w:val="OdsekzoznamuChar"/>
    <w:uiPriority w:val="34"/>
    <w:qFormat/>
    <w:rsid w:val="00540DD9"/>
    <w:pPr>
      <w:spacing w:after="200" w:line="276" w:lineRule="auto"/>
      <w:ind w:left="720"/>
      <w:contextualSpacing/>
    </w:pPr>
  </w:style>
  <w:style w:type="paragraph" w:styleId="Revzia">
    <w:name w:val="Revision"/>
    <w:hidden/>
    <w:uiPriority w:val="71"/>
    <w:unhideWhenUsed/>
    <w:rsid w:val="0065519D"/>
    <w:rPr>
      <w:sz w:val="22"/>
      <w:szCs w:val="22"/>
      <w:lang w:eastAsia="en-US"/>
    </w:rPr>
  </w:style>
  <w:style w:type="table" w:styleId="Mriekatabuky">
    <w:name w:val="Table Grid"/>
    <w:basedOn w:val="Normlnatabuka"/>
    <w:uiPriority w:val="59"/>
    <w:rsid w:val="00D23749"/>
    <w:pPr>
      <w:jc w:val="both"/>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rsid w:val="003A7447"/>
    <w:rPr>
      <w:rFonts w:asciiTheme="majorHAnsi" w:eastAsiaTheme="majorEastAsia" w:hAnsiTheme="majorHAnsi" w:cstheme="majorBidi"/>
      <w:b/>
      <w:bCs/>
      <w:color w:val="4F81BD" w:themeColor="accent1"/>
      <w:sz w:val="26"/>
      <w:szCs w:val="26"/>
      <w:lang w:eastAsia="en-US"/>
    </w:rPr>
  </w:style>
  <w:style w:type="character" w:customStyle="1" w:styleId="OdsekzoznamuChar">
    <w:name w:val="Odsek zoznamu Char"/>
    <w:aliases w:val="body Char,List Paragraph Char"/>
    <w:link w:val="Odsekzoznamu"/>
    <w:uiPriority w:val="34"/>
    <w:locked/>
    <w:rsid w:val="003A7447"/>
    <w:rPr>
      <w:sz w:val="22"/>
      <w:szCs w:val="22"/>
      <w:lang w:eastAsia="en-US"/>
    </w:rPr>
  </w:style>
  <w:style w:type="paragraph" w:styleId="Bezriadkovania">
    <w:name w:val="No Spacing"/>
    <w:autoRedefine/>
    <w:uiPriority w:val="1"/>
    <w:qFormat/>
    <w:rsid w:val="006576F8"/>
    <w:pPr>
      <w:spacing w:before="120" w:after="120" w:line="276" w:lineRule="auto"/>
      <w:jc w:val="both"/>
    </w:pPr>
    <w:rPr>
      <w:rFonts w:ascii="Arial Narrow" w:hAnsi="Arial Narrow"/>
      <w:sz w:val="22"/>
      <w:szCs w:val="22"/>
      <w:lang w:eastAsia="en-US"/>
    </w:rPr>
  </w:style>
  <w:style w:type="paragraph" w:styleId="Zarkazkladnhotextu2">
    <w:name w:val="Body Text Indent 2"/>
    <w:basedOn w:val="Normlny"/>
    <w:link w:val="Zarkazkladnhotextu2Char"/>
    <w:uiPriority w:val="99"/>
    <w:unhideWhenUsed/>
    <w:rsid w:val="00C6773F"/>
    <w:pPr>
      <w:spacing w:after="120" w:line="480" w:lineRule="auto"/>
      <w:ind w:left="283"/>
    </w:pPr>
    <w:rPr>
      <w:lang w:val="x-none"/>
    </w:rPr>
  </w:style>
  <w:style w:type="character" w:customStyle="1" w:styleId="Zarkazkladnhotextu2Char">
    <w:name w:val="Zarážka základného textu 2 Char"/>
    <w:basedOn w:val="Predvolenpsmoodseku"/>
    <w:link w:val="Zarkazkladnhotextu2"/>
    <w:uiPriority w:val="99"/>
    <w:rsid w:val="00C6773F"/>
    <w:rPr>
      <w:sz w:val="22"/>
      <w:szCs w:val="22"/>
      <w:lang w:val="x-none" w:eastAsia="en-US"/>
    </w:rPr>
  </w:style>
  <w:style w:type="character" w:styleId="Jemnzvraznenie">
    <w:name w:val="Subtle Emphasis"/>
    <w:uiPriority w:val="19"/>
    <w:qFormat/>
    <w:rsid w:val="0073590D"/>
    <w:rPr>
      <w:rFonts w:ascii="Times New Roman" w:hAnsi="Times New Roman" w:cs="Times New Roman"/>
      <w:b/>
      <w:color w:val="auto"/>
      <w:sz w:val="30"/>
    </w:rPr>
  </w:style>
  <w:style w:type="paragraph" w:styleId="Zkladntext">
    <w:name w:val="Body Text"/>
    <w:basedOn w:val="Normlny"/>
    <w:link w:val="ZkladntextChar"/>
    <w:uiPriority w:val="99"/>
    <w:unhideWhenUsed/>
    <w:rsid w:val="0073590D"/>
    <w:pPr>
      <w:spacing w:after="120"/>
    </w:pPr>
    <w:rPr>
      <w:rFonts w:eastAsia="Times New Roman"/>
    </w:rPr>
  </w:style>
  <w:style w:type="character" w:customStyle="1" w:styleId="ZkladntextChar">
    <w:name w:val="Základný text Char"/>
    <w:basedOn w:val="Predvolenpsmoodseku"/>
    <w:link w:val="Zkladntext"/>
    <w:uiPriority w:val="99"/>
    <w:rsid w:val="0073590D"/>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80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D9885-39EB-461D-84E4-EA4CB5F2F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1484</Words>
  <Characters>8461</Characters>
  <Application>Microsoft Office Word</Application>
  <DocSecurity>0</DocSecurity>
  <Lines>70</Lines>
  <Paragraphs>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9926</CharactersWithSpaces>
  <SharedDoc>false</SharedDoc>
  <HLinks>
    <vt:vector size="6" baseType="variant">
      <vt:variant>
        <vt:i4>1572947</vt:i4>
      </vt:variant>
      <vt:variant>
        <vt:i4>0</vt:i4>
      </vt:variant>
      <vt:variant>
        <vt:i4>0</vt:i4>
      </vt:variant>
      <vt:variant>
        <vt:i4>5</vt:i4>
      </vt:variant>
      <vt:variant>
        <vt:lpwstr>http://www.registeruz.sk/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2021-05-18T10:57:00Z</dcterms:created>
  <dcterms:modified xsi:type="dcterms:W3CDTF">2021-05-20T11:42:00Z</dcterms:modified>
</cp:coreProperties>
</file>