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C32" w:rsidRDefault="00672C32" w:rsidP="00672C32">
      <w:pPr>
        <w:tabs>
          <w:tab w:val="left" w:pos="708"/>
        </w:tabs>
        <w:suppressAutoHyphens/>
        <w:rPr>
          <w:b/>
          <w:bCs/>
        </w:rPr>
      </w:pPr>
      <w:r w:rsidRPr="00A866A3">
        <w:rPr>
          <w:b/>
          <w:bCs/>
        </w:rPr>
        <w:t xml:space="preserve">Príloha č. </w:t>
      </w:r>
      <w:r>
        <w:rPr>
          <w:b/>
          <w:bCs/>
        </w:rPr>
        <w:t>4</w:t>
      </w:r>
      <w:r w:rsidRPr="00A866A3">
        <w:rPr>
          <w:b/>
          <w:bCs/>
        </w:rPr>
        <w:t xml:space="preserve"> –</w:t>
      </w:r>
      <w:r>
        <w:rPr>
          <w:b/>
          <w:bCs/>
        </w:rPr>
        <w:t xml:space="preserve"> Návrh zmluvy</w:t>
      </w:r>
    </w:p>
    <w:p w:rsidR="00672C32" w:rsidRDefault="00672C32" w:rsidP="00672C32">
      <w:pPr>
        <w:tabs>
          <w:tab w:val="left" w:pos="708"/>
        </w:tabs>
        <w:suppressAutoHyphens/>
        <w:rPr>
          <w:b/>
          <w:bCs/>
        </w:rPr>
      </w:pPr>
    </w:p>
    <w:p w:rsidR="00672C32" w:rsidRPr="00BC0644" w:rsidRDefault="00672C32" w:rsidP="00672C32">
      <w:pPr>
        <w:contextualSpacing/>
        <w:jc w:val="center"/>
        <w:rPr>
          <w:b/>
        </w:rPr>
      </w:pPr>
      <w:r w:rsidRPr="00BC0644">
        <w:rPr>
          <w:b/>
        </w:rPr>
        <w:t>ZMLUVA O</w:t>
      </w:r>
      <w:r w:rsidRPr="00DB022F">
        <w:rPr>
          <w:b/>
        </w:rPr>
        <w:t> </w:t>
      </w:r>
      <w:r w:rsidRPr="00BC0644">
        <w:rPr>
          <w:b/>
        </w:rPr>
        <w:t>DIELO</w:t>
      </w:r>
    </w:p>
    <w:p w:rsidR="00672C32" w:rsidRPr="00BC0644" w:rsidRDefault="00672C32" w:rsidP="0050064E">
      <w:pPr>
        <w:contextualSpacing/>
        <w:jc w:val="center"/>
        <w:rPr>
          <w:b/>
        </w:rPr>
      </w:pPr>
      <w:r w:rsidRPr="00BC0644">
        <w:rPr>
          <w:b/>
        </w:rPr>
        <w:t xml:space="preserve">na vypracovanie Bezpečnostnej dokumentácie </w:t>
      </w:r>
      <w:r>
        <w:rPr>
          <w:b/>
        </w:rPr>
        <w:t xml:space="preserve">a ostatnej dokumentácie </w:t>
      </w:r>
      <w:r w:rsidRPr="00BC0644">
        <w:rPr>
          <w:b/>
        </w:rPr>
        <w:t xml:space="preserve">v súlade s </w:t>
      </w:r>
      <w:r w:rsidRPr="00BC0644">
        <w:rPr>
          <w:rFonts w:eastAsia="Calibri"/>
          <w:b/>
          <w:color w:val="000000"/>
        </w:rPr>
        <w:t>Nariadením Európskeho parlamentu a Rady (EÚ) 2016/679 z 27. apríla 2016 o ochrane fyzických osôb pri spracúvaní osobných údajov a o voľnom pohybe takýchto údajov, ktorým sa zrušuje smernica 95/46/ES</w:t>
      </w:r>
      <w:r w:rsidRPr="00BC0644">
        <w:rPr>
          <w:b/>
        </w:rPr>
        <w:t xml:space="preserve"> (všeobecné nariadenie o ochrane údajov) a zákona č. 18/2018 Z. z. o ochrane osobných údajov a o zmene a doplnení niektorých zákonov v znení neskorších predpisov</w:t>
      </w:r>
      <w:r w:rsidR="0050064E">
        <w:rPr>
          <w:b/>
        </w:rPr>
        <w:t xml:space="preserve"> </w:t>
      </w:r>
      <w:r w:rsidRPr="00BC0644">
        <w:rPr>
          <w:b/>
        </w:rPr>
        <w:t>uzavretá podľa § 536 a </w:t>
      </w:r>
      <w:proofErr w:type="spellStart"/>
      <w:r w:rsidRPr="00BC0644">
        <w:rPr>
          <w:b/>
        </w:rPr>
        <w:t>nasl</w:t>
      </w:r>
      <w:proofErr w:type="spellEnd"/>
      <w:r w:rsidRPr="00BC0644">
        <w:rPr>
          <w:b/>
        </w:rPr>
        <w:t>. zákona č. 513/1991 Zb. Obchodný zákonník v znení neskorších predpisov</w:t>
      </w:r>
    </w:p>
    <w:p w:rsidR="00672C32" w:rsidRPr="00BC0644" w:rsidRDefault="00672C32" w:rsidP="00672C32">
      <w:pPr>
        <w:contextualSpacing/>
        <w:jc w:val="center"/>
        <w:rPr>
          <w:b/>
        </w:rPr>
      </w:pPr>
      <w:r w:rsidRPr="00BC0644">
        <w:rPr>
          <w:b/>
        </w:rPr>
        <w:t>(ďalej len „zmluva“)</w:t>
      </w:r>
    </w:p>
    <w:p w:rsidR="00672C32" w:rsidRPr="00BC0644" w:rsidRDefault="00672C32" w:rsidP="00672C32">
      <w:pPr>
        <w:contextualSpacing/>
        <w:rPr>
          <w:b/>
        </w:rPr>
      </w:pPr>
    </w:p>
    <w:p w:rsidR="00672C32" w:rsidRPr="00FA22E0" w:rsidRDefault="00672C32" w:rsidP="00672C32">
      <w:pPr>
        <w:keepNext/>
        <w:tabs>
          <w:tab w:val="left" w:pos="540"/>
        </w:tabs>
        <w:suppressAutoHyphens/>
        <w:contextualSpacing/>
        <w:jc w:val="both"/>
        <w:outlineLvl w:val="0"/>
        <w:rPr>
          <w:rFonts w:eastAsia="Calibri"/>
          <w:b/>
          <w:lang w:eastAsia="ar-SA"/>
        </w:rPr>
      </w:pPr>
      <w:r w:rsidRPr="00FA22E0">
        <w:rPr>
          <w:rFonts w:eastAsia="Calibri"/>
          <w:b/>
          <w:lang w:eastAsia="ar-SA"/>
        </w:rPr>
        <w:t>ÚGKK SR č.: .......................</w:t>
      </w:r>
    </w:p>
    <w:p w:rsidR="00672C32" w:rsidRPr="00BC0644" w:rsidRDefault="00672C32" w:rsidP="00672C32">
      <w:pPr>
        <w:keepNext/>
        <w:tabs>
          <w:tab w:val="left" w:pos="540"/>
        </w:tabs>
        <w:suppressAutoHyphens/>
        <w:contextualSpacing/>
        <w:jc w:val="both"/>
        <w:outlineLvl w:val="0"/>
        <w:rPr>
          <w:rFonts w:eastAsia="Calibri"/>
          <w:i/>
          <w:color w:val="FF0000"/>
          <w:lang w:eastAsia="ar-SA"/>
        </w:rPr>
      </w:pPr>
      <w:r>
        <w:rPr>
          <w:rFonts w:eastAsia="Calibri"/>
          <w:b/>
          <w:lang w:eastAsia="ar-SA"/>
        </w:rPr>
        <w:t>Zhotoviteľ</w:t>
      </w:r>
      <w:r w:rsidRPr="00FA22E0">
        <w:rPr>
          <w:rFonts w:eastAsia="Calibri"/>
          <w:b/>
          <w:lang w:eastAsia="ar-SA"/>
        </w:rPr>
        <w:t xml:space="preserve"> č.: .......................</w:t>
      </w:r>
    </w:p>
    <w:p w:rsidR="00672C32" w:rsidRPr="00BC0644" w:rsidRDefault="00672C32" w:rsidP="00672C32">
      <w:pPr>
        <w:contextualSpacing/>
        <w:rPr>
          <w:b/>
        </w:rPr>
      </w:pPr>
    </w:p>
    <w:p w:rsidR="00672C32" w:rsidRPr="00BC0644" w:rsidRDefault="00672C32" w:rsidP="00672C32">
      <w:pPr>
        <w:contextualSpacing/>
        <w:jc w:val="center"/>
        <w:rPr>
          <w:b/>
        </w:rPr>
      </w:pPr>
      <w:r w:rsidRPr="00BC0644">
        <w:rPr>
          <w:b/>
        </w:rPr>
        <w:t>medzi</w:t>
      </w:r>
    </w:p>
    <w:p w:rsidR="00672C32" w:rsidRPr="00BC0644" w:rsidRDefault="00672C32" w:rsidP="00672C32">
      <w:pPr>
        <w:contextualSpacing/>
        <w:jc w:val="center"/>
        <w:rPr>
          <w:b/>
        </w:rPr>
      </w:pPr>
      <w:r w:rsidRPr="00BC0644">
        <w:rPr>
          <w:b/>
        </w:rPr>
        <w:t>ZMLUVNÝMI STRANAMI</w:t>
      </w:r>
    </w:p>
    <w:p w:rsidR="00672C32" w:rsidRPr="00BC0644" w:rsidRDefault="00672C32" w:rsidP="00672C32">
      <w:pPr>
        <w:contextualSpacing/>
      </w:pPr>
    </w:p>
    <w:p w:rsidR="00672C32" w:rsidRPr="00BC0644" w:rsidRDefault="00672C32" w:rsidP="00672C32">
      <w:pPr>
        <w:tabs>
          <w:tab w:val="left" w:pos="2127"/>
        </w:tabs>
        <w:contextualSpacing/>
        <w:rPr>
          <w:b/>
        </w:rPr>
      </w:pPr>
      <w:r w:rsidRPr="00BC0644">
        <w:rPr>
          <w:b/>
        </w:rPr>
        <w:t>1. Objednávateľ</w:t>
      </w:r>
      <w:r w:rsidRPr="00BC0644">
        <w:t>:</w:t>
      </w:r>
      <w:r w:rsidRPr="00BC0644">
        <w:tab/>
      </w:r>
      <w:r w:rsidRPr="00BC0644">
        <w:rPr>
          <w:b/>
        </w:rPr>
        <w:t>Úrad geodézie, kartografie a katastra Slovenskej republiky</w:t>
      </w:r>
    </w:p>
    <w:p w:rsidR="00672C32" w:rsidRPr="00BC0644" w:rsidRDefault="00672C32" w:rsidP="00672C32">
      <w:pPr>
        <w:tabs>
          <w:tab w:val="left" w:pos="2127"/>
        </w:tabs>
        <w:contextualSpacing/>
      </w:pPr>
      <w:r w:rsidRPr="00BC0644">
        <w:t>Sídlo:</w:t>
      </w:r>
      <w:r w:rsidRPr="00BC0644">
        <w:tab/>
        <w:t>Chlumeckého 2, P. O. Box 57, 820 12 Bratislava 212</w:t>
      </w:r>
    </w:p>
    <w:p w:rsidR="00672C32" w:rsidRPr="00BC0644" w:rsidRDefault="00672C32" w:rsidP="00672C32">
      <w:pPr>
        <w:pStyle w:val="Default"/>
        <w:tabs>
          <w:tab w:val="left" w:pos="2127"/>
        </w:tabs>
      </w:pPr>
      <w:r w:rsidRPr="00BC0644">
        <w:t>Zastúpený:</w:t>
      </w:r>
      <w:r w:rsidRPr="00BC0644">
        <w:tab/>
        <w:t>Ing. Ján Mrva, predseda</w:t>
      </w:r>
    </w:p>
    <w:p w:rsidR="00672C32" w:rsidRPr="00BC0644" w:rsidRDefault="00672C32" w:rsidP="00672C32">
      <w:pPr>
        <w:tabs>
          <w:tab w:val="left" w:pos="2127"/>
        </w:tabs>
        <w:contextualSpacing/>
      </w:pPr>
      <w:r w:rsidRPr="00BC0644">
        <w:t>IČO:</w:t>
      </w:r>
      <w:r w:rsidRPr="00BC0644">
        <w:tab/>
        <w:t>00166260</w:t>
      </w:r>
    </w:p>
    <w:p w:rsidR="00672C32" w:rsidRPr="00BC0644" w:rsidRDefault="00672C32" w:rsidP="00672C32">
      <w:pPr>
        <w:tabs>
          <w:tab w:val="left" w:pos="2127"/>
        </w:tabs>
        <w:contextualSpacing/>
      </w:pPr>
      <w:r w:rsidRPr="00BC0644">
        <w:t>DIČ:</w:t>
      </w:r>
      <w:r w:rsidRPr="00BC0644">
        <w:tab/>
        <w:t>2020830240</w:t>
      </w:r>
    </w:p>
    <w:p w:rsidR="00672C32" w:rsidRPr="00BC0644" w:rsidRDefault="00672C32" w:rsidP="00672C32">
      <w:pPr>
        <w:tabs>
          <w:tab w:val="left" w:pos="2127"/>
        </w:tabs>
        <w:contextualSpacing/>
      </w:pPr>
      <w:r w:rsidRPr="00BC0644">
        <w:t>IČ DPH:</w:t>
      </w:r>
      <w:r w:rsidRPr="00BC0644">
        <w:tab/>
        <w:t>..................................</w:t>
      </w:r>
    </w:p>
    <w:p w:rsidR="00672C32" w:rsidRPr="00BC0644" w:rsidRDefault="00672C32" w:rsidP="00672C32">
      <w:pPr>
        <w:tabs>
          <w:tab w:val="left" w:pos="2127"/>
        </w:tabs>
        <w:contextualSpacing/>
      </w:pPr>
      <w:r w:rsidRPr="00BC0644">
        <w:t>Bankové spojenie:</w:t>
      </w:r>
      <w:r w:rsidRPr="00BC0644">
        <w:tab/>
        <w:t>Štátna pokladnica</w:t>
      </w:r>
    </w:p>
    <w:p w:rsidR="00672C32" w:rsidRPr="00BC0644" w:rsidRDefault="00672C32" w:rsidP="00672C32">
      <w:pPr>
        <w:pStyle w:val="Default"/>
        <w:tabs>
          <w:tab w:val="left" w:pos="2127"/>
        </w:tabs>
      </w:pPr>
      <w:r w:rsidRPr="00BC0644">
        <w:t>Číslo účtu/IBAN:</w:t>
      </w:r>
      <w:r w:rsidRPr="00BC0644">
        <w:rPr>
          <w:rFonts w:eastAsia="MS Gothic"/>
        </w:rPr>
        <w:t xml:space="preserve">    </w:t>
      </w:r>
      <w:r w:rsidRPr="00BC0644">
        <w:tab/>
        <w:t>SK43 8180 0000 0070 0006 3089</w:t>
      </w:r>
    </w:p>
    <w:p w:rsidR="00672C32" w:rsidRPr="00BC0644" w:rsidRDefault="00672C32" w:rsidP="00672C32">
      <w:pPr>
        <w:contextualSpacing/>
      </w:pPr>
      <w:r w:rsidRPr="00BC0644">
        <w:t>(ďalej len „</w:t>
      </w:r>
      <w:r w:rsidRPr="00BC0644">
        <w:rPr>
          <w:b/>
        </w:rPr>
        <w:t>Objednávateľ</w:t>
      </w:r>
      <w:r w:rsidRPr="00BC0644">
        <w:t>“)</w:t>
      </w:r>
    </w:p>
    <w:p w:rsidR="00672C32" w:rsidRPr="00BC0644" w:rsidRDefault="00672C32" w:rsidP="00672C32">
      <w:pPr>
        <w:contextualSpacing/>
      </w:pPr>
    </w:p>
    <w:p w:rsidR="00672C32" w:rsidRPr="00BC0644" w:rsidRDefault="00672C32" w:rsidP="00672C32">
      <w:pPr>
        <w:contextualSpacing/>
      </w:pPr>
      <w:r w:rsidRPr="00BC0644">
        <w:t>a</w:t>
      </w:r>
    </w:p>
    <w:p w:rsidR="00672C32" w:rsidRPr="00BC0644" w:rsidRDefault="00672C32" w:rsidP="00672C32">
      <w:pPr>
        <w:contextualSpacing/>
      </w:pPr>
    </w:p>
    <w:p w:rsidR="00672C32" w:rsidRPr="00BC0644" w:rsidRDefault="00672C32" w:rsidP="00672C32">
      <w:pPr>
        <w:tabs>
          <w:tab w:val="left" w:pos="2127"/>
        </w:tabs>
        <w:jc w:val="both"/>
      </w:pPr>
      <w:r w:rsidRPr="00BC0644">
        <w:rPr>
          <w:b/>
        </w:rPr>
        <w:t>2. Zhotoviteľ</w:t>
      </w:r>
      <w:r w:rsidRPr="00BC0644">
        <w:rPr>
          <w:lang w:val="en-US"/>
        </w:rPr>
        <w:t>:</w:t>
      </w:r>
      <w:r w:rsidRPr="00BC0644">
        <w:rPr>
          <w:lang w:val="en-US"/>
        </w:rPr>
        <w:tab/>
      </w:r>
      <w:r w:rsidRPr="00BC0644">
        <w:t>.......................................................................</w:t>
      </w:r>
    </w:p>
    <w:p w:rsidR="00672C32" w:rsidRPr="00BC0644" w:rsidRDefault="00672C32" w:rsidP="00672C32">
      <w:pPr>
        <w:tabs>
          <w:tab w:val="left" w:pos="2127"/>
        </w:tabs>
        <w:contextualSpacing/>
      </w:pPr>
      <w:r w:rsidRPr="00BC0644">
        <w:t>Sídlo:</w:t>
      </w:r>
      <w:r w:rsidRPr="00BC0644">
        <w:tab/>
        <w:t>.......................................................................</w:t>
      </w:r>
    </w:p>
    <w:p w:rsidR="00672C32" w:rsidRPr="00BC0644" w:rsidRDefault="00672C32" w:rsidP="00672C32">
      <w:pPr>
        <w:pStyle w:val="Default"/>
        <w:tabs>
          <w:tab w:val="left" w:pos="2127"/>
        </w:tabs>
      </w:pPr>
      <w:r w:rsidRPr="00BC0644">
        <w:t>Zastúpený:</w:t>
      </w:r>
      <w:r w:rsidRPr="00BC0644">
        <w:tab/>
        <w:t>.......................................................................</w:t>
      </w:r>
    </w:p>
    <w:p w:rsidR="00672C32" w:rsidRPr="00BC0644" w:rsidRDefault="00672C32" w:rsidP="00672C32">
      <w:pPr>
        <w:tabs>
          <w:tab w:val="left" w:pos="2127"/>
        </w:tabs>
        <w:contextualSpacing/>
      </w:pPr>
      <w:r w:rsidRPr="00BC0644">
        <w:t>IČO:</w:t>
      </w:r>
      <w:r w:rsidRPr="00BC0644">
        <w:tab/>
        <w:t>.......................................................................</w:t>
      </w:r>
    </w:p>
    <w:p w:rsidR="00672C32" w:rsidRPr="00BC0644" w:rsidRDefault="00672C32" w:rsidP="00672C32">
      <w:pPr>
        <w:tabs>
          <w:tab w:val="left" w:pos="2127"/>
        </w:tabs>
        <w:contextualSpacing/>
      </w:pPr>
      <w:r w:rsidRPr="00BC0644">
        <w:t>DIČ:</w:t>
      </w:r>
      <w:r w:rsidRPr="00BC0644">
        <w:tab/>
        <w:t>.......................................................................</w:t>
      </w:r>
    </w:p>
    <w:p w:rsidR="00672C32" w:rsidRPr="00BC0644" w:rsidRDefault="00672C32" w:rsidP="00672C32">
      <w:pPr>
        <w:tabs>
          <w:tab w:val="left" w:pos="2127"/>
        </w:tabs>
        <w:contextualSpacing/>
      </w:pPr>
      <w:r w:rsidRPr="00BC0644">
        <w:t>IČ DPH:</w:t>
      </w:r>
      <w:r w:rsidRPr="00BC0644">
        <w:tab/>
        <w:t>.......................................................................</w:t>
      </w:r>
    </w:p>
    <w:p w:rsidR="00672C32" w:rsidRPr="00BC0644" w:rsidRDefault="00672C32" w:rsidP="00672C32">
      <w:pPr>
        <w:pStyle w:val="Default"/>
        <w:tabs>
          <w:tab w:val="left" w:pos="2127"/>
        </w:tabs>
      </w:pPr>
      <w:r w:rsidRPr="00BC0644">
        <w:t>Číslo účtu/IBAN:</w:t>
      </w:r>
      <w:r w:rsidRPr="00BC0644">
        <w:rPr>
          <w:rFonts w:eastAsia="MS Gothic"/>
        </w:rPr>
        <w:t xml:space="preserve">      </w:t>
      </w:r>
      <w:r w:rsidRPr="00BC0644">
        <w:rPr>
          <w:rFonts w:eastAsia="MS Gothic"/>
        </w:rPr>
        <w:tab/>
      </w:r>
      <w:r w:rsidRPr="00BC0644">
        <w:t>.......................................................................</w:t>
      </w:r>
    </w:p>
    <w:p w:rsidR="00672C32" w:rsidRPr="00BC0644" w:rsidRDefault="00672C32" w:rsidP="00672C32">
      <w:pPr>
        <w:pStyle w:val="Default"/>
        <w:tabs>
          <w:tab w:val="left" w:pos="2127"/>
        </w:tabs>
      </w:pPr>
      <w:r w:rsidRPr="00BC0644">
        <w:t>(ďalej len „</w:t>
      </w:r>
      <w:r w:rsidRPr="00BC0644">
        <w:rPr>
          <w:b/>
        </w:rPr>
        <w:t>Zhotoviteľ</w:t>
      </w:r>
      <w:r w:rsidRPr="00BC0644">
        <w:t>“)</w:t>
      </w:r>
    </w:p>
    <w:p w:rsidR="00672C32" w:rsidRPr="00BC0644" w:rsidRDefault="00672C32" w:rsidP="00672C32">
      <w:pPr>
        <w:contextualSpacing/>
      </w:pPr>
    </w:p>
    <w:p w:rsidR="00672C32" w:rsidRPr="00BC0644" w:rsidRDefault="00672C32" w:rsidP="00672C32">
      <w:pPr>
        <w:contextualSpacing/>
        <w:jc w:val="both"/>
      </w:pPr>
      <w:r w:rsidRPr="00BC0644">
        <w:t>(Objednávateľ a Zhotoviteľ spolu ďalej len „</w:t>
      </w:r>
      <w:r w:rsidRPr="00BC0644">
        <w:rPr>
          <w:b/>
        </w:rPr>
        <w:t>zmluvné strany</w:t>
      </w:r>
      <w:r w:rsidRPr="00BC0644">
        <w:t>“ alebo jednotlivo „</w:t>
      </w:r>
      <w:r w:rsidRPr="00BC0644">
        <w:rPr>
          <w:b/>
        </w:rPr>
        <w:t>zmluvná strana</w:t>
      </w:r>
      <w:r w:rsidRPr="00BC0644">
        <w:t>“).</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I</w:t>
      </w:r>
    </w:p>
    <w:p w:rsidR="00672C32" w:rsidRPr="00BC0644" w:rsidRDefault="00672C32" w:rsidP="00672C32">
      <w:pPr>
        <w:contextualSpacing/>
        <w:jc w:val="center"/>
        <w:rPr>
          <w:b/>
        </w:rPr>
      </w:pPr>
      <w:r w:rsidRPr="00BC0644">
        <w:rPr>
          <w:b/>
        </w:rPr>
        <w:t>Úvodné ustanovenia</w:t>
      </w:r>
    </w:p>
    <w:p w:rsidR="00672C32" w:rsidRDefault="00672C32" w:rsidP="00672C32">
      <w:pPr>
        <w:contextualSpacing/>
        <w:rPr>
          <w:b/>
        </w:rPr>
      </w:pPr>
    </w:p>
    <w:p w:rsidR="00672C32" w:rsidRPr="00FE5A5E" w:rsidRDefault="00672C32" w:rsidP="00672C32">
      <w:pPr>
        <w:numPr>
          <w:ilvl w:val="0"/>
          <w:numId w:val="13"/>
        </w:numPr>
        <w:contextualSpacing/>
        <w:jc w:val="both"/>
        <w:rPr>
          <w:bCs/>
          <w:i/>
        </w:rPr>
      </w:pPr>
      <w:r>
        <w:rPr>
          <w:bCs/>
        </w:rPr>
        <w:t>Objednávateľ</w:t>
      </w:r>
      <w:r w:rsidRPr="00FE5A5E">
        <w:rPr>
          <w:bCs/>
        </w:rPr>
        <w:t xml:space="preserve"> ako verejný obstarávateľ vyhlásil zadávanie zákazky s názvom </w:t>
      </w:r>
      <w:r w:rsidRPr="00FE5A5E">
        <w:rPr>
          <w:bCs/>
          <w:i/>
        </w:rPr>
        <w:t>„</w:t>
      </w:r>
      <w:r w:rsidRPr="00C05F46">
        <w:rPr>
          <w:bCs/>
          <w:i/>
        </w:rPr>
        <w:t>Vypracovanie bezpečnostnej dokumentácie a ostatnej dokumentácie v súlade s nariadením GDPR a zákonom o ochrane osobných údajov</w:t>
      </w:r>
      <w:r w:rsidRPr="00FE5A5E">
        <w:rPr>
          <w:bCs/>
          <w:i/>
        </w:rPr>
        <w:t xml:space="preserve">“ </w:t>
      </w:r>
      <w:r w:rsidRPr="00FE5A5E">
        <w:rPr>
          <w:bCs/>
        </w:rPr>
        <w:t xml:space="preserve">v zmysle § 117 zákona č. 343/2015 Z. z. o verejnom obstarávaní a o zmene a doplnení niektorých zákonov v znení neskorších predpisov </w:t>
      </w:r>
      <w:r>
        <w:rPr>
          <w:bCs/>
        </w:rPr>
        <w:t xml:space="preserve">zverejnením </w:t>
      </w:r>
      <w:r w:rsidRPr="00FE5A5E">
        <w:rPr>
          <w:bCs/>
        </w:rPr>
        <w:t>výzv</w:t>
      </w:r>
      <w:r>
        <w:rPr>
          <w:bCs/>
        </w:rPr>
        <w:t>y</w:t>
      </w:r>
      <w:r w:rsidRPr="00FE5A5E">
        <w:rPr>
          <w:bCs/>
        </w:rPr>
        <w:t xml:space="preserve"> na predloženie ponuky</w:t>
      </w:r>
      <w:r>
        <w:rPr>
          <w:bCs/>
        </w:rPr>
        <w:t xml:space="preserve"> zverejnenej vo Vestníku č. </w:t>
      </w:r>
      <w:r w:rsidRPr="00391C83">
        <w:rPr>
          <w:bCs/>
          <w:highlight w:val="yellow"/>
        </w:rPr>
        <w:t>.../2020</w:t>
      </w:r>
      <w:r w:rsidRPr="005322E7">
        <w:rPr>
          <w:bCs/>
        </w:rPr>
        <w:t xml:space="preserve"> zo dňa </w:t>
      </w:r>
      <w:r w:rsidRPr="00391C83">
        <w:rPr>
          <w:bCs/>
          <w:highlight w:val="yellow"/>
        </w:rPr>
        <w:t>.. 11.2020</w:t>
      </w:r>
      <w:r w:rsidRPr="005322E7">
        <w:rPr>
          <w:bCs/>
        </w:rPr>
        <w:t xml:space="preserve"> pod č. </w:t>
      </w:r>
      <w:r w:rsidRPr="00391C83">
        <w:rPr>
          <w:bCs/>
          <w:highlight w:val="yellow"/>
        </w:rPr>
        <w:t>.....-WNS</w:t>
      </w:r>
      <w:r w:rsidRPr="005322E7">
        <w:rPr>
          <w:bCs/>
        </w:rPr>
        <w:t>.</w:t>
      </w:r>
      <w:r w:rsidRPr="00FE5A5E">
        <w:rPr>
          <w:bCs/>
          <w:i/>
        </w:rPr>
        <w:t xml:space="preserve"> </w:t>
      </w:r>
    </w:p>
    <w:p w:rsidR="00672C32" w:rsidRPr="00E50870" w:rsidRDefault="00672C32" w:rsidP="00672C32">
      <w:pPr>
        <w:numPr>
          <w:ilvl w:val="0"/>
          <w:numId w:val="13"/>
        </w:numPr>
        <w:contextualSpacing/>
        <w:jc w:val="both"/>
        <w:rPr>
          <w:bCs/>
        </w:rPr>
      </w:pPr>
      <w:r w:rsidRPr="00FE5A5E">
        <w:rPr>
          <w:bCs/>
        </w:rPr>
        <w:t>Výsledkom verejného obstarávania je výber úspešného uchádzača, s ktorými je ako s</w:t>
      </w:r>
      <w:r>
        <w:rPr>
          <w:bCs/>
        </w:rPr>
        <w:t>o</w:t>
      </w:r>
      <w:r w:rsidRPr="00FE5A5E">
        <w:rPr>
          <w:bCs/>
        </w:rPr>
        <w:t xml:space="preserve"> </w:t>
      </w:r>
      <w:r>
        <w:rPr>
          <w:bCs/>
        </w:rPr>
        <w:t>Zhotoviteľom</w:t>
      </w:r>
      <w:r w:rsidRPr="00FE5A5E">
        <w:rPr>
          <w:bCs/>
        </w:rPr>
        <w:t xml:space="preserve"> uzatvorená táto </w:t>
      </w:r>
      <w:r>
        <w:rPr>
          <w:bCs/>
        </w:rPr>
        <w:t>zmluva</w:t>
      </w:r>
      <w:r w:rsidRPr="00E50870">
        <w:rPr>
          <w:bCs/>
        </w:rPr>
        <w:t>.</w:t>
      </w:r>
    </w:p>
    <w:p w:rsidR="00672C32" w:rsidRPr="00E50870" w:rsidRDefault="00672C32" w:rsidP="00672C32">
      <w:pPr>
        <w:numPr>
          <w:ilvl w:val="0"/>
          <w:numId w:val="13"/>
        </w:numPr>
        <w:contextualSpacing/>
        <w:jc w:val="both"/>
        <w:rPr>
          <w:bCs/>
        </w:rPr>
      </w:pPr>
      <w:r>
        <w:rPr>
          <w:bCs/>
        </w:rPr>
        <w:t>Zhotoviteľ</w:t>
      </w:r>
      <w:r w:rsidRPr="00E50870">
        <w:rPr>
          <w:bCs/>
        </w:rPr>
        <w:t xml:space="preserve"> týmto vyhlasuje, že:</w:t>
      </w:r>
    </w:p>
    <w:p w:rsidR="00672C32" w:rsidRPr="00E50870" w:rsidRDefault="00672C32" w:rsidP="00672C32">
      <w:pPr>
        <w:numPr>
          <w:ilvl w:val="1"/>
          <w:numId w:val="13"/>
        </w:numPr>
        <w:contextualSpacing/>
        <w:jc w:val="both"/>
        <w:rPr>
          <w:bCs/>
        </w:rPr>
      </w:pPr>
      <w:r w:rsidRPr="00E50870">
        <w:rPr>
          <w:bCs/>
        </w:rPr>
        <w:lastRenderedPageBreak/>
        <w:t xml:space="preserve">sa oboznámil a preskúmal všetky podmienky a okolnosti súvisiace s realizáciou predmetu </w:t>
      </w:r>
      <w:r>
        <w:rPr>
          <w:bCs/>
        </w:rPr>
        <w:t>zmluvy</w:t>
      </w:r>
      <w:r w:rsidRPr="00E50870">
        <w:rPr>
          <w:bCs/>
        </w:rPr>
        <w:t xml:space="preserve">, </w:t>
      </w:r>
    </w:p>
    <w:p w:rsidR="00672C32" w:rsidRPr="00E50870" w:rsidRDefault="00672C32" w:rsidP="00672C32">
      <w:pPr>
        <w:numPr>
          <w:ilvl w:val="1"/>
          <w:numId w:val="13"/>
        </w:numPr>
        <w:contextualSpacing/>
        <w:jc w:val="both"/>
        <w:rPr>
          <w:bCs/>
        </w:rPr>
      </w:pPr>
      <w:r w:rsidRPr="00E50870">
        <w:rPr>
          <w:bCs/>
        </w:rPr>
        <w:t xml:space="preserve">predmet </w:t>
      </w:r>
      <w:r>
        <w:rPr>
          <w:bCs/>
        </w:rPr>
        <w:t>zmluvy</w:t>
      </w:r>
      <w:r w:rsidRPr="00E50870">
        <w:rPr>
          <w:bCs/>
        </w:rPr>
        <w:t xml:space="preserve"> je mu jasný a na základe svojej odbornej spôsobilosti, technického vybavenia a personálu, ktorý má k dispozícii, je spôsobilý a zaväzuje sa ho vykonávať riadne, kompletne a na požadovanej odbornej úrovni v súlade s</w:t>
      </w:r>
      <w:r>
        <w:rPr>
          <w:bCs/>
        </w:rPr>
        <w:t>o zmluvou</w:t>
      </w:r>
      <w:r w:rsidRPr="00E50870">
        <w:rPr>
          <w:bCs/>
        </w:rPr>
        <w:t xml:space="preserve"> a všeobecne záväznými právnymi predpismi.</w:t>
      </w:r>
    </w:p>
    <w:p w:rsidR="00672C32" w:rsidRPr="00BC0644" w:rsidRDefault="00672C32" w:rsidP="00672C32">
      <w:pPr>
        <w:contextualSpacing/>
        <w:jc w:val="center"/>
        <w:rPr>
          <w:b/>
        </w:rPr>
      </w:pPr>
    </w:p>
    <w:p w:rsidR="00672C32" w:rsidRPr="00BC0644" w:rsidRDefault="00672C32" w:rsidP="00672C32">
      <w:pPr>
        <w:contextualSpacing/>
        <w:jc w:val="center"/>
        <w:rPr>
          <w:b/>
        </w:rPr>
      </w:pPr>
      <w:r w:rsidRPr="00BC0644">
        <w:rPr>
          <w:b/>
        </w:rPr>
        <w:t>Článok II</w:t>
      </w:r>
    </w:p>
    <w:p w:rsidR="00672C32" w:rsidRPr="00BC0644" w:rsidRDefault="00672C32" w:rsidP="00672C32">
      <w:pPr>
        <w:contextualSpacing/>
        <w:jc w:val="center"/>
        <w:rPr>
          <w:b/>
        </w:rPr>
      </w:pPr>
      <w:r w:rsidRPr="00BC0644">
        <w:rPr>
          <w:b/>
        </w:rPr>
        <w:t>PREDMET ZMLUVY</w:t>
      </w:r>
    </w:p>
    <w:p w:rsidR="00672C32" w:rsidRPr="00BC0644" w:rsidRDefault="00672C32" w:rsidP="00672C32">
      <w:pPr>
        <w:contextualSpacing/>
        <w:jc w:val="center"/>
      </w:pPr>
    </w:p>
    <w:p w:rsidR="00672C32" w:rsidRPr="00BC0644" w:rsidRDefault="00672C32" w:rsidP="00672C32">
      <w:pPr>
        <w:numPr>
          <w:ilvl w:val="1"/>
          <w:numId w:val="14"/>
        </w:numPr>
        <w:ind w:left="426" w:hanging="426"/>
        <w:contextualSpacing/>
        <w:jc w:val="both"/>
      </w:pPr>
      <w:r w:rsidRPr="00BC0644">
        <w:t>Predmetom tejto zmluvy je:</w:t>
      </w:r>
    </w:p>
    <w:p w:rsidR="00672C32" w:rsidRPr="00BC0644" w:rsidRDefault="00672C32" w:rsidP="00672C32">
      <w:pPr>
        <w:pStyle w:val="ListParagraph"/>
        <w:numPr>
          <w:ilvl w:val="0"/>
          <w:numId w:val="9"/>
        </w:numPr>
        <w:ind w:left="851" w:hanging="425"/>
        <w:contextualSpacing/>
        <w:jc w:val="both"/>
      </w:pPr>
      <w:r w:rsidRPr="00BC0644">
        <w:t xml:space="preserve">záväzok Zhotoviteľa riadne a včas zhotoviť dielo špecifikované v čl. III tejto zmluvy </w:t>
      </w:r>
      <w:r>
        <w:t xml:space="preserve">v spojení s prílohou č. 1 tejto zmluvy </w:t>
      </w:r>
      <w:r w:rsidRPr="00BC0644">
        <w:t>podľa podmienok dohodnutých v tejto zmluve a jej prílohách a</w:t>
      </w:r>
      <w:r w:rsidRPr="00BC0644" w:rsidDel="005C2D4E">
        <w:t xml:space="preserve"> </w:t>
      </w:r>
      <w:r w:rsidRPr="00BC0644">
        <w:t xml:space="preserve">odovzdať dielo Objednávateľovi riadne a včas; </w:t>
      </w:r>
    </w:p>
    <w:p w:rsidR="00672C32" w:rsidRPr="00BC0644" w:rsidRDefault="00672C32" w:rsidP="00672C32">
      <w:pPr>
        <w:pStyle w:val="ListParagraph"/>
        <w:numPr>
          <w:ilvl w:val="0"/>
          <w:numId w:val="9"/>
        </w:numPr>
        <w:ind w:left="851" w:hanging="425"/>
        <w:contextualSpacing/>
        <w:jc w:val="both"/>
      </w:pPr>
      <w:r w:rsidRPr="00BC0644">
        <w:t>záväzok Objednávateľa riadne a včas zhotovené dielo prevziať a zaplatiť zaň Zhotoviteľovi dohodnutú cenu podľa podmienok tejto zmluvy.</w:t>
      </w:r>
    </w:p>
    <w:p w:rsidR="00672C32" w:rsidRPr="00BC0644" w:rsidRDefault="00672C32" w:rsidP="00672C32">
      <w:pPr>
        <w:pStyle w:val="ListParagraph"/>
        <w:jc w:val="both"/>
      </w:pPr>
    </w:p>
    <w:p w:rsidR="00672C32" w:rsidRPr="00BC0644" w:rsidRDefault="00672C32" w:rsidP="00672C32">
      <w:pPr>
        <w:contextualSpacing/>
        <w:jc w:val="center"/>
        <w:rPr>
          <w:b/>
        </w:rPr>
      </w:pPr>
      <w:r w:rsidRPr="00BC0644">
        <w:rPr>
          <w:b/>
        </w:rPr>
        <w:t>Článok III</w:t>
      </w:r>
    </w:p>
    <w:p w:rsidR="00672C32" w:rsidRPr="00BC0644" w:rsidRDefault="00672C32" w:rsidP="00672C32">
      <w:pPr>
        <w:pStyle w:val="KapitolySPA"/>
        <w:rPr>
          <w:sz w:val="24"/>
          <w:szCs w:val="24"/>
        </w:rPr>
      </w:pPr>
      <w:r w:rsidRPr="00BC0644">
        <w:rPr>
          <w:sz w:val="24"/>
          <w:szCs w:val="24"/>
        </w:rPr>
        <w:t>DIELO</w:t>
      </w:r>
    </w:p>
    <w:p w:rsidR="00672C32" w:rsidRPr="00BC0644" w:rsidRDefault="00672C32" w:rsidP="00672C32">
      <w:pPr>
        <w:contextualSpacing/>
        <w:jc w:val="both"/>
      </w:pPr>
    </w:p>
    <w:p w:rsidR="00672C32" w:rsidRPr="00BC0644" w:rsidRDefault="00672C32" w:rsidP="00672C32">
      <w:pPr>
        <w:pStyle w:val="ListParagraph"/>
        <w:numPr>
          <w:ilvl w:val="0"/>
          <w:numId w:val="15"/>
        </w:numPr>
        <w:ind w:left="426" w:hanging="426"/>
        <w:contextualSpacing/>
        <w:jc w:val="both"/>
      </w:pPr>
      <w:r w:rsidRPr="00BC0644">
        <w:t xml:space="preserve">Dielo, ktoré je predmetom tejto zmluvy, spočíva v záväzku Zhotoviteľa vypracovať pre Objednávateľa s prihliadnutím na individuálne znaky informačných systémov Objednávateľa </w:t>
      </w:r>
      <w:r w:rsidRPr="003D0AD1">
        <w:rPr>
          <w:iCs/>
        </w:rPr>
        <w:t xml:space="preserve">bezpečnostnú dokumentáciu </w:t>
      </w:r>
      <w:r w:rsidRPr="00BC0644">
        <w:t xml:space="preserve">a ostatnú dokumentáciu, </w:t>
      </w:r>
      <w:r>
        <w:t>ktoré budú</w:t>
      </w:r>
      <w:r w:rsidRPr="00BC0644">
        <w:t xml:space="preserve"> odrážať všetky technické a organizačné opatrenia potrebné na naplnenie Nariadenia Európskeho parlamentu a Rady (EÚ) 2016/679 z 27. apríla 2016 o ochrane fyzických osôb pri spracúvaní osobných údajov a o voľnom pohybe takýchto údajov, ktorým sa zrušuje smernica 95/46/ES (všeobecné nariadenie o ochrane údajov) (ďalej len „</w:t>
      </w:r>
      <w:r w:rsidRPr="003D0AD1">
        <w:rPr>
          <w:b/>
        </w:rPr>
        <w:t>Nariadenie GDPR</w:t>
      </w:r>
      <w:r w:rsidRPr="00BC0644">
        <w:t>“) a zákona č. 18/2018 Z. z. o ochrane osobných údajov a o zmene a doplnení niektorých zákonov v znení neskorších predpisov (ďalej len „</w:t>
      </w:r>
      <w:r w:rsidRPr="003D0AD1">
        <w:rPr>
          <w:b/>
        </w:rPr>
        <w:t>zákon č. 18/2018 Z. z.</w:t>
      </w:r>
      <w:r w:rsidRPr="00BC0644">
        <w:t>“)</w:t>
      </w:r>
      <w:r>
        <w:t xml:space="preserve">, vrátane vykonávacích predpisov, ako aj v záväzku vykonať audit súladu už zavedených opatrení na ochranu osobných údajov a v prípade potreby vykonať ich aktualizáciu </w:t>
      </w:r>
      <w:r w:rsidRPr="00BC0644">
        <w:t>(ďalej len „</w:t>
      </w:r>
      <w:r w:rsidRPr="003D0AD1">
        <w:rPr>
          <w:b/>
        </w:rPr>
        <w:t>dielo</w:t>
      </w:r>
      <w:r w:rsidRPr="00BC0644">
        <w:t>“)</w:t>
      </w:r>
      <w:r>
        <w:t>.</w:t>
      </w:r>
    </w:p>
    <w:p w:rsidR="00672C32" w:rsidRPr="00BC0644" w:rsidRDefault="00672C32" w:rsidP="00672C32">
      <w:pPr>
        <w:pStyle w:val="ListParagraph"/>
        <w:numPr>
          <w:ilvl w:val="0"/>
          <w:numId w:val="15"/>
        </w:numPr>
        <w:ind w:left="426" w:hanging="426"/>
        <w:contextualSpacing/>
        <w:jc w:val="both"/>
      </w:pPr>
      <w:r w:rsidRPr="00BC0644">
        <w:t xml:space="preserve">Podrobný opis diela je uvedený v prílohe č. 1 tejto zmluvy. </w:t>
      </w:r>
      <w:r w:rsidRPr="00BC0644">
        <w:tab/>
      </w:r>
    </w:p>
    <w:p w:rsidR="00672C32" w:rsidRPr="00BC0644" w:rsidRDefault="00672C32" w:rsidP="00672C32">
      <w:pPr>
        <w:contextualSpacing/>
        <w:jc w:val="both"/>
      </w:pPr>
    </w:p>
    <w:p w:rsidR="00672C32" w:rsidRPr="00BC0644" w:rsidRDefault="00672C32" w:rsidP="00672C32">
      <w:pPr>
        <w:contextualSpacing/>
        <w:jc w:val="center"/>
      </w:pPr>
      <w:r w:rsidRPr="00BC0644">
        <w:rPr>
          <w:b/>
        </w:rPr>
        <w:t>Článok IV</w:t>
      </w:r>
    </w:p>
    <w:p w:rsidR="00672C32" w:rsidRPr="00BC0644" w:rsidRDefault="00672C32" w:rsidP="00672C32">
      <w:pPr>
        <w:contextualSpacing/>
        <w:jc w:val="center"/>
        <w:rPr>
          <w:b/>
        </w:rPr>
      </w:pPr>
      <w:r w:rsidRPr="00BC0644">
        <w:rPr>
          <w:b/>
        </w:rPr>
        <w:t>ČAS PLNENIA</w:t>
      </w:r>
    </w:p>
    <w:p w:rsidR="00672C32" w:rsidRPr="00BC0644" w:rsidRDefault="00672C32" w:rsidP="00672C32">
      <w:pPr>
        <w:contextualSpacing/>
        <w:jc w:val="both"/>
      </w:pPr>
    </w:p>
    <w:p w:rsidR="00672C32" w:rsidRDefault="00672C32" w:rsidP="00672C32">
      <w:pPr>
        <w:pStyle w:val="ListParagraph"/>
        <w:numPr>
          <w:ilvl w:val="0"/>
          <w:numId w:val="16"/>
        </w:numPr>
        <w:ind w:left="426" w:hanging="426"/>
        <w:contextualSpacing/>
        <w:jc w:val="both"/>
      </w:pPr>
      <w:r w:rsidRPr="00BC0644">
        <w:t xml:space="preserve">Zhotoviteľ sa zaväzuje riadne vykonať a odovzdať </w:t>
      </w:r>
      <w:r>
        <w:t>dielo v rozsahu podľa bodov 1. až 11. prílohy č. 1 tejto zmluvy</w:t>
      </w:r>
      <w:r w:rsidRPr="00BC0644" w:rsidDel="00403343">
        <w:t xml:space="preserve"> </w:t>
      </w:r>
      <w:r w:rsidRPr="00BC0644">
        <w:t xml:space="preserve">Objednávateľovi do </w:t>
      </w:r>
      <w:r>
        <w:t>6</w:t>
      </w:r>
      <w:r w:rsidRPr="00BC0644">
        <w:t>0 kalendárnych dní odo dňa nadobudnutia účinnosti tejto zmluvy.</w:t>
      </w:r>
    </w:p>
    <w:p w:rsidR="00672C32" w:rsidRPr="00BC0644" w:rsidRDefault="00672C32" w:rsidP="00672C32">
      <w:pPr>
        <w:pStyle w:val="ListParagraph"/>
        <w:numPr>
          <w:ilvl w:val="0"/>
          <w:numId w:val="16"/>
        </w:numPr>
        <w:ind w:left="426" w:hanging="426"/>
        <w:contextualSpacing/>
        <w:jc w:val="both"/>
      </w:pPr>
      <w:r>
        <w:t>Súčasťou plnenia Zhotoviteľa je aj poskytovanie podpory po dobu 24 mesiacov odo dňa protokolárneho prevzatia diela v rozsahu podľa bodov 1. až 11. prílohy č. 1 tejto Zmluvy. Podpora Zhotoviteľa je špecifikovaná v bode 12. prílohy č. 1 tejto zmluvy.</w:t>
      </w:r>
    </w:p>
    <w:p w:rsidR="00672C32" w:rsidRDefault="00672C32" w:rsidP="00672C32">
      <w:pPr>
        <w:contextualSpacing/>
        <w:jc w:val="center"/>
        <w:rPr>
          <w:b/>
        </w:rPr>
      </w:pPr>
    </w:p>
    <w:p w:rsidR="00672C32" w:rsidRDefault="00672C32" w:rsidP="00672C32">
      <w:pPr>
        <w:contextualSpacing/>
        <w:jc w:val="center"/>
        <w:rPr>
          <w:b/>
        </w:rPr>
      </w:pPr>
    </w:p>
    <w:p w:rsidR="00672C32" w:rsidRDefault="00672C32" w:rsidP="00672C32">
      <w:pPr>
        <w:contextualSpacing/>
        <w:jc w:val="center"/>
        <w:rPr>
          <w:b/>
        </w:rPr>
      </w:pPr>
    </w:p>
    <w:p w:rsidR="00672C32" w:rsidRDefault="00672C32" w:rsidP="00672C32">
      <w:pPr>
        <w:contextualSpacing/>
        <w:jc w:val="center"/>
        <w:rPr>
          <w:b/>
        </w:rPr>
      </w:pPr>
    </w:p>
    <w:p w:rsidR="00672C32" w:rsidRPr="00BC0644" w:rsidRDefault="00672C32" w:rsidP="00672C32">
      <w:pPr>
        <w:contextualSpacing/>
        <w:jc w:val="center"/>
        <w:rPr>
          <w:b/>
        </w:rPr>
      </w:pPr>
      <w:r w:rsidRPr="00BC0644">
        <w:rPr>
          <w:b/>
        </w:rPr>
        <w:t>Článok V</w:t>
      </w:r>
    </w:p>
    <w:p w:rsidR="00672C32" w:rsidRPr="00BC0644" w:rsidRDefault="00672C32" w:rsidP="00672C32">
      <w:pPr>
        <w:contextualSpacing/>
        <w:jc w:val="center"/>
        <w:rPr>
          <w:b/>
        </w:rPr>
      </w:pPr>
      <w:r w:rsidRPr="00BC0644">
        <w:rPr>
          <w:b/>
        </w:rPr>
        <w:t xml:space="preserve">MIESTO PLNENIA </w:t>
      </w:r>
    </w:p>
    <w:p w:rsidR="00672C32" w:rsidRPr="00BC0644" w:rsidRDefault="00672C32" w:rsidP="00672C32">
      <w:pPr>
        <w:contextualSpacing/>
        <w:jc w:val="both"/>
      </w:pPr>
    </w:p>
    <w:p w:rsidR="00672C32" w:rsidRPr="00BC0644" w:rsidRDefault="00672C32" w:rsidP="00672C32">
      <w:pPr>
        <w:pStyle w:val="ListParagraph"/>
        <w:numPr>
          <w:ilvl w:val="1"/>
          <w:numId w:val="17"/>
        </w:numPr>
        <w:ind w:left="426" w:hanging="426"/>
        <w:contextualSpacing/>
        <w:jc w:val="both"/>
      </w:pPr>
      <w:r w:rsidRPr="00BC0644">
        <w:t>Miestom plnenia podľa tejto zmluvy je sídlo Objednávateľa uvedené v záhlaví tejto zmluvy.</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VI</w:t>
      </w:r>
    </w:p>
    <w:p w:rsidR="00672C32" w:rsidRPr="00BC0644" w:rsidRDefault="00672C32" w:rsidP="00672C32">
      <w:pPr>
        <w:contextualSpacing/>
        <w:jc w:val="center"/>
        <w:rPr>
          <w:b/>
        </w:rPr>
      </w:pPr>
      <w:r w:rsidRPr="00BC0644">
        <w:rPr>
          <w:b/>
        </w:rPr>
        <w:t>VLASTNÍCKE A AUTORSKÉ PRÁVA</w:t>
      </w:r>
    </w:p>
    <w:p w:rsidR="00672C32" w:rsidRPr="00BC0644" w:rsidRDefault="00672C32" w:rsidP="00672C32">
      <w:pPr>
        <w:contextualSpacing/>
        <w:jc w:val="center"/>
        <w:rPr>
          <w:b/>
        </w:rPr>
      </w:pPr>
    </w:p>
    <w:p w:rsidR="00672C32" w:rsidRPr="00BC0644" w:rsidRDefault="00672C32" w:rsidP="00672C32">
      <w:pPr>
        <w:pStyle w:val="ListParagraph"/>
        <w:numPr>
          <w:ilvl w:val="0"/>
          <w:numId w:val="18"/>
        </w:numPr>
        <w:ind w:left="426" w:hanging="426"/>
        <w:contextualSpacing/>
        <w:jc w:val="both"/>
      </w:pPr>
      <w:r w:rsidRPr="00BC0644">
        <w:t>Vlastnícke práva k dielu, jeho logickým celkom ako aj jeho jednotlivým súčastiam, ktoré môžu byť predmetom vlastníckeho práva, prechádzajú na Objednávateľa dňom ich protokolárneho odovzdania oprávneným osobám Objednávateľa. Týmto okamihom prechádza na Objednávateľa aj nebezpečenstvo škody na diele.</w:t>
      </w:r>
    </w:p>
    <w:p w:rsidR="00672C32" w:rsidRPr="00C63F06" w:rsidRDefault="00672C32" w:rsidP="00672C32">
      <w:pPr>
        <w:pStyle w:val="ListParagraph"/>
        <w:numPr>
          <w:ilvl w:val="0"/>
          <w:numId w:val="18"/>
        </w:numPr>
        <w:ind w:left="426" w:hanging="426"/>
        <w:contextualSpacing/>
        <w:jc w:val="both"/>
      </w:pPr>
      <w:r w:rsidRPr="00BC0644">
        <w:t>Objednávateľovi vzniká právo užívať dielo v súlade s touto zmluvou dňom podpísania preberacieho protokolu, ak sa zmluvné strany výslovne nedohodnú inak.</w:t>
      </w:r>
    </w:p>
    <w:p w:rsidR="00672C32" w:rsidRPr="00BC0644" w:rsidRDefault="00672C32" w:rsidP="00672C32">
      <w:pPr>
        <w:pStyle w:val="ListParagraph"/>
        <w:numPr>
          <w:ilvl w:val="0"/>
          <w:numId w:val="18"/>
        </w:numPr>
        <w:ind w:left="426" w:hanging="426"/>
        <w:contextualSpacing/>
        <w:jc w:val="both"/>
      </w:pPr>
      <w:r w:rsidRPr="00BC0644">
        <w:t xml:space="preserve">Zhotoviteľ týmto poskytuje Objednávateľovi časovo a teritoriálne neobmedzenú </w:t>
      </w:r>
      <w:r>
        <w:t xml:space="preserve">výhradnú </w:t>
      </w:r>
      <w:r w:rsidRPr="00BC0644">
        <w:t xml:space="preserve">licenciu na použitie tých častí diela, vo vzťahu ku ktorým je vykonávateľom majetkových práv autora, pokiaľ sú predmetom autorského práva, a to na </w:t>
      </w:r>
      <w:r>
        <w:t>všetky známe</w:t>
      </w:r>
      <w:r w:rsidRPr="00BC0644">
        <w:t xml:space="preserve"> spôsoby použitia diela. Objednávateľ má právo tieto časti diela ďalej spracovávať, prekladať, meniť alebo dopĺňať. Odmena Zhotoviteľa za uvedenú licenciu je na celú dobu autorskoprávnej ochrany diela zahrnutá v cene za dielo a zmluvné strany majú za to, že je primeraná k rozsahu a spôsobu použitia predmetu ochrany práva duševného vlastníctva. Objednávateľ je oprávnený postúpiť poskytnutú licenciu na tretiu osobu ako aj udeľovať k dielam sublicencie, s čím Zhotoviteľ súhlasí. </w:t>
      </w:r>
    </w:p>
    <w:p w:rsidR="00672C32" w:rsidRPr="00BF3241" w:rsidRDefault="00672C32" w:rsidP="00672C32">
      <w:pPr>
        <w:pStyle w:val="ListParagraph"/>
        <w:numPr>
          <w:ilvl w:val="0"/>
          <w:numId w:val="18"/>
        </w:numPr>
        <w:ind w:left="426" w:hanging="426"/>
        <w:contextualSpacing/>
        <w:jc w:val="both"/>
      </w:pPr>
      <w:r w:rsidRPr="00BC0644">
        <w:t>Zhotoviteľ zároveň vyhlasuje, že v prípade, že na tvorbu diela použil subdodávateľov, vysporiadal všetky právne záväzky týkajúce sa autorskoprávnej ochrany pred odovzdaním diela Objednávateľovi. V prípade uplatnenia akýchkoľvek nárokov subdodávateľov</w:t>
      </w:r>
      <w:r>
        <w:t xml:space="preserve"> alebo tretích strán vyplývajúcich z porušenia autorských práv</w:t>
      </w:r>
      <w:r w:rsidRPr="00BC0644">
        <w:t xml:space="preserve"> uplatnených po odovzdaní diela Objednávateľovi, nebude Objednávateľ zodpovedať za tieto nároky, resp. prípadnú škodu, ale zodpovednosť v plnej miere nesie Zhotoviteľ, ktorý sa zaviazal uvedené nároky vysporiadať ešte pred odovzdaním diela Objednávateľovi. Zhotoviteľ v uvedenom prípade plne zodpovedá za škodu spôsobenú Objednávateľovi</w:t>
      </w:r>
      <w:r>
        <w:t>,</w:t>
      </w:r>
      <w:r w:rsidRPr="00BC0644">
        <w:t> subdodávateľom</w:t>
      </w:r>
      <w:r>
        <w:t xml:space="preserve"> alebo tretím osobám</w:t>
      </w:r>
      <w:r w:rsidRPr="00BC0644">
        <w:t xml:space="preserve">. Uvedené ustanovenie sa obdobne uplatní v prípade uplatnenia nárokov akýchkoľvek tretích osôb, ktoré nie sú subdodávateľom. </w:t>
      </w:r>
    </w:p>
    <w:p w:rsidR="00672C32" w:rsidRPr="00BC0644" w:rsidRDefault="00672C32" w:rsidP="00672C32">
      <w:pPr>
        <w:contextualSpacing/>
        <w:rPr>
          <w:b/>
        </w:rPr>
      </w:pPr>
    </w:p>
    <w:p w:rsidR="00672C32" w:rsidRPr="00BC0644" w:rsidRDefault="00672C32" w:rsidP="00672C32">
      <w:pPr>
        <w:contextualSpacing/>
        <w:jc w:val="center"/>
        <w:rPr>
          <w:b/>
        </w:rPr>
      </w:pPr>
      <w:r w:rsidRPr="00BC0644">
        <w:rPr>
          <w:b/>
        </w:rPr>
        <w:t>Článok VII</w:t>
      </w:r>
    </w:p>
    <w:p w:rsidR="00672C32" w:rsidRPr="00BC0644" w:rsidRDefault="00672C32" w:rsidP="00672C32">
      <w:pPr>
        <w:contextualSpacing/>
        <w:jc w:val="center"/>
        <w:rPr>
          <w:b/>
        </w:rPr>
      </w:pPr>
      <w:r w:rsidRPr="00BC0644">
        <w:rPr>
          <w:b/>
        </w:rPr>
        <w:t>CENA A PLATOBNÉ PODMIENKY</w:t>
      </w:r>
    </w:p>
    <w:p w:rsidR="00672C32" w:rsidRPr="00BC0644" w:rsidRDefault="00672C32" w:rsidP="00672C32">
      <w:pPr>
        <w:contextualSpacing/>
        <w:jc w:val="both"/>
        <w:rPr>
          <w:b/>
          <w:color w:val="FF0000"/>
        </w:rPr>
      </w:pPr>
    </w:p>
    <w:p w:rsidR="00672C32" w:rsidRPr="00BC0644" w:rsidRDefault="00672C32" w:rsidP="00672C32">
      <w:pPr>
        <w:pStyle w:val="ListParagraph"/>
        <w:numPr>
          <w:ilvl w:val="0"/>
          <w:numId w:val="19"/>
        </w:numPr>
        <w:ind w:left="426" w:hanging="426"/>
        <w:contextualSpacing/>
        <w:jc w:val="both"/>
      </w:pPr>
      <w:bookmarkStart w:id="0" w:name="_Ref467660558"/>
      <w:r w:rsidRPr="00BC0644">
        <w:t xml:space="preserve">Celková cena za dielo je určená v súlade s podmienkami tejto zmluvy a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 </w:t>
      </w:r>
      <w:bookmarkEnd w:id="0"/>
      <w:r w:rsidRPr="00D6065A">
        <w:rPr>
          <w:rFonts w:eastAsia="TimesNewRoman"/>
        </w:rPr>
        <w:t>Celková cena za dielo predstavuje výšku:</w:t>
      </w:r>
    </w:p>
    <w:p w:rsidR="00672C32" w:rsidRPr="00BC0644" w:rsidRDefault="00672C32" w:rsidP="00672C32">
      <w:pPr>
        <w:pStyle w:val="ListParagraph"/>
        <w:autoSpaceDE w:val="0"/>
        <w:autoSpaceDN w:val="0"/>
        <w:adjustRightInd w:val="0"/>
        <w:ind w:left="426"/>
        <w:jc w:val="both"/>
        <w:rPr>
          <w:rFonts w:eastAsia="TimesNewRoman"/>
        </w:rPr>
      </w:pPr>
    </w:p>
    <w:p w:rsidR="00672C32" w:rsidRPr="00BC0644" w:rsidRDefault="00672C32" w:rsidP="00672C32">
      <w:pPr>
        <w:overflowPunct w:val="0"/>
        <w:autoSpaceDE w:val="0"/>
        <w:autoSpaceDN w:val="0"/>
        <w:adjustRightInd w:val="0"/>
        <w:ind w:left="426"/>
        <w:contextualSpacing/>
        <w:jc w:val="both"/>
        <w:textAlignment w:val="baseline"/>
      </w:pPr>
      <w:r w:rsidRPr="003B42F5">
        <w:t>Celková cena bez DPH:</w:t>
      </w:r>
      <w:r w:rsidRPr="003B42F5">
        <w:tab/>
        <w:t>............................ (slovom ....................... EUR bez DPH). K cene bude fakturovaná DPH v zmysle zákona č. 222/2004 Z. z. o dani z pridanej hodnoty v znení neskorších právnych predpisov. DPH: ........................................... (slovom ................... EUR). Celková cena s DPH:</w:t>
      </w:r>
      <w:r w:rsidRPr="00BC0644">
        <w:t xml:space="preserve"> .............................. (slovom .................... EUR s DPH).</w:t>
      </w:r>
    </w:p>
    <w:p w:rsidR="00672C32" w:rsidRPr="00BC0644" w:rsidRDefault="00672C32" w:rsidP="00672C32">
      <w:pPr>
        <w:pStyle w:val="ListParagraph"/>
        <w:ind w:left="426"/>
        <w:jc w:val="both"/>
      </w:pPr>
    </w:p>
    <w:p w:rsidR="00672C32" w:rsidRDefault="00672C32" w:rsidP="00672C32">
      <w:pPr>
        <w:pStyle w:val="ListParagraph"/>
        <w:numPr>
          <w:ilvl w:val="0"/>
          <w:numId w:val="19"/>
        </w:numPr>
        <w:ind w:left="426" w:hanging="426"/>
        <w:contextualSpacing/>
        <w:jc w:val="both"/>
      </w:pPr>
      <w:r>
        <w:t>V prípade, že sa v priebehu plnenia zmluvy z neplatiteľa DPH stane platiteľ DPH         a naopak, cena za dielo sa z tohto dôvodu nebude meniť.</w:t>
      </w:r>
    </w:p>
    <w:p w:rsidR="00672C32" w:rsidRDefault="00672C32" w:rsidP="00672C32">
      <w:pPr>
        <w:pStyle w:val="ListParagraph"/>
        <w:numPr>
          <w:ilvl w:val="0"/>
          <w:numId w:val="19"/>
        </w:numPr>
        <w:ind w:left="426" w:hanging="426"/>
        <w:contextualSpacing/>
        <w:jc w:val="both"/>
      </w:pPr>
      <w:r>
        <w:t>V prípade zmeny výšky sadzby DPH všeobecne záväzným právnym predpisom, bude cena upravená formou písomného dodatku k tejto zmluve</w:t>
      </w:r>
    </w:p>
    <w:p w:rsidR="00672C32" w:rsidRPr="00BC0644" w:rsidRDefault="00672C32" w:rsidP="00672C32">
      <w:pPr>
        <w:pStyle w:val="ListParagraph"/>
        <w:numPr>
          <w:ilvl w:val="0"/>
          <w:numId w:val="19"/>
        </w:numPr>
        <w:ind w:left="426" w:hanging="426"/>
        <w:contextualSpacing/>
        <w:jc w:val="both"/>
      </w:pPr>
      <w:r w:rsidRPr="00BC0644">
        <w:t>V cene diela sú zahrnuté všetky náklady Zhotoviteľa spojené s plnením tejto zmluvy, a to vrátane dopravy osôb podieľajúcich sa na plnení diela, akýchkoľvek daní, ciel,  poplatkov a platieb vyberaných v rámci uplatňovania nesadzobných opatrení, ktoré sú ustanovené osobitnými predpismi. Objednávateľ neposkytuje Zhotoviteľovi zálohu ani preddavok.</w:t>
      </w:r>
    </w:p>
    <w:p w:rsidR="00672C32" w:rsidRPr="00D6065A" w:rsidRDefault="00672C32" w:rsidP="00672C32">
      <w:pPr>
        <w:pStyle w:val="ListParagraph"/>
        <w:numPr>
          <w:ilvl w:val="0"/>
          <w:numId w:val="19"/>
        </w:numPr>
        <w:ind w:left="426" w:hanging="426"/>
        <w:contextualSpacing/>
        <w:jc w:val="both"/>
      </w:pPr>
      <w:r w:rsidRPr="00D6065A">
        <w:t>Zhotoviteľovi nevznikne nárok na úhradu akýchkoľvek dodatočných nákladov, ktoré nie sú započítané do ceny diela. Cena za dielo zohľadňuje primerané, preukázateľné náklady Zhotoviteľa a je konečná.</w:t>
      </w:r>
    </w:p>
    <w:p w:rsidR="00672C32" w:rsidRPr="00087219" w:rsidRDefault="00672C32" w:rsidP="00672C32">
      <w:pPr>
        <w:pStyle w:val="ListParagraph"/>
        <w:numPr>
          <w:ilvl w:val="0"/>
          <w:numId w:val="19"/>
        </w:numPr>
        <w:ind w:left="426" w:hanging="426"/>
        <w:contextualSpacing/>
        <w:jc w:val="both"/>
      </w:pPr>
      <w:r w:rsidRPr="00087219">
        <w:t>Zmluvné strany sa dohodli, že cena za dielo bude uhradená nasledovne:</w:t>
      </w:r>
    </w:p>
    <w:p w:rsidR="00672C32" w:rsidRPr="00087219" w:rsidRDefault="00672C32" w:rsidP="00672C32">
      <w:pPr>
        <w:pStyle w:val="ListParagraph"/>
        <w:numPr>
          <w:ilvl w:val="1"/>
          <w:numId w:val="19"/>
        </w:numPr>
        <w:ind w:left="851" w:hanging="425"/>
        <w:contextualSpacing/>
        <w:jc w:val="both"/>
      </w:pPr>
      <w:r w:rsidRPr="00087219">
        <w:lastRenderedPageBreak/>
        <w:t>Objednávateľ uhradí Zhotoviteľovi cenu vo výške ............................ (slovom ....................... EUR bez DPH) po dodaní diela v rozsahu podľa bodov 1. až 11. prílohy č. 1 tejto zmluvy. K cene bude fakturovaná DPH v zmysle zákona č. 222/2004 Z. z. o dani z pridanej hodnoty v znení neskorších právnych predpisov.</w:t>
      </w:r>
    </w:p>
    <w:p w:rsidR="00672C32" w:rsidRPr="00087219" w:rsidRDefault="00672C32" w:rsidP="00672C32">
      <w:pPr>
        <w:pStyle w:val="ListParagraph"/>
        <w:numPr>
          <w:ilvl w:val="1"/>
          <w:numId w:val="19"/>
        </w:numPr>
        <w:ind w:left="851" w:hanging="425"/>
        <w:contextualSpacing/>
        <w:jc w:val="both"/>
      </w:pPr>
      <w:r w:rsidRPr="00087219">
        <w:t>Objednávateľ uhradí Zhotoviteľovi cenu vo výške ............................ (slovom ....................... EUR bez DPH) po vykonaní prvého kontrolného auditu podľa bodu 12 písm. b) prílohy č. 1 tejto zmluvy. K cene bude fakturovaná DPH v zmysle zákona č. 222/2004 Z. z. o dani z pridanej hodnoty v znení neskorších právnych predpisov.</w:t>
      </w:r>
    </w:p>
    <w:p w:rsidR="00672C32" w:rsidRPr="00087219" w:rsidRDefault="00672C32" w:rsidP="00672C32">
      <w:pPr>
        <w:pStyle w:val="ListParagraph"/>
        <w:numPr>
          <w:ilvl w:val="1"/>
          <w:numId w:val="19"/>
        </w:numPr>
        <w:ind w:left="851" w:hanging="425"/>
        <w:contextualSpacing/>
        <w:jc w:val="both"/>
      </w:pPr>
      <w:r w:rsidRPr="00087219">
        <w:t>Objednávateľ uhradí Zhotoviteľovi cenu vo výške ............................ (slovom ....................... EUR bez DPH) po vykonaní druhého kontrolného auditu podľa bodu 12 písm. b) prílohy č. 1 tejto zmluvy. K cene bude fakturovaná DPH v zmysle zákona č. 222/2004 Z. z. o dani z pridanej hodnoty v znení neskorších právnych predpisov.</w:t>
      </w:r>
    </w:p>
    <w:p w:rsidR="00672C32" w:rsidRDefault="00672C32" w:rsidP="00672C32">
      <w:pPr>
        <w:pStyle w:val="ListParagraph"/>
        <w:numPr>
          <w:ilvl w:val="1"/>
          <w:numId w:val="19"/>
        </w:numPr>
        <w:ind w:left="851" w:hanging="425"/>
        <w:contextualSpacing/>
        <w:jc w:val="both"/>
      </w:pPr>
      <w:r w:rsidRPr="00087219">
        <w:t>Objednávateľ uhradí Zhotoviteľovi cenu vo výške ............................ (slovom ....................... EUR bez DPH) po vykonaní prvého revízneho auditu podľa bodu 12 písm. c) prílohy č. 1 tejto zmluvy. K cene bude fakturovaná DPH v zmysle zákona č. 222/2004 Z. z. o dani z pridanej hodnoty v znení neskorších právnych predpisov.</w:t>
      </w:r>
    </w:p>
    <w:p w:rsidR="00672C32" w:rsidRPr="00BC0644" w:rsidRDefault="00672C32" w:rsidP="00672C32">
      <w:pPr>
        <w:pStyle w:val="ListParagraph"/>
        <w:numPr>
          <w:ilvl w:val="0"/>
          <w:numId w:val="19"/>
        </w:numPr>
        <w:ind w:left="426" w:hanging="426"/>
        <w:contextualSpacing/>
        <w:jc w:val="both"/>
      </w:pPr>
      <w:r w:rsidRPr="00087219">
        <w:t>Zhotoviteľovi vznikne právo na zaplatenie príslušnej časti ceny za dielo v súlade s bodom 7.6. tohto článku riadnym dodaním príslušnej časti diela v dohodnutom rozsahu a kvalite. Podkladom na zaplatenie príslušnej časti ceny bude preberací protokol potvrdený poverenými zástupcami oboch zmluvných strán. Zhotoviteľ vystaví faktúru až po podpísaní preberacieho protokolu poverenými zástupcami oboch zmluvných strán</w:t>
      </w:r>
      <w:r w:rsidRPr="00BC0644">
        <w:t xml:space="preserve">.  </w:t>
      </w:r>
    </w:p>
    <w:p w:rsidR="00672C32" w:rsidRPr="00BC0644" w:rsidRDefault="00672C32" w:rsidP="00672C32">
      <w:pPr>
        <w:pStyle w:val="ListParagraph"/>
        <w:numPr>
          <w:ilvl w:val="0"/>
          <w:numId w:val="19"/>
        </w:numPr>
        <w:ind w:left="426" w:hanging="426"/>
        <w:contextualSpacing/>
        <w:jc w:val="both"/>
      </w:pPr>
      <w:r w:rsidRPr="00BC0644">
        <w:t xml:space="preserve">Lehota splatnosti faktúry je tridsať (30)  kalendárnych dní odo dňa doručenia faktúry </w:t>
      </w:r>
      <w:r>
        <w:t>n</w:t>
      </w:r>
      <w:r w:rsidRPr="00BC0644">
        <w:t xml:space="preserve">a adresu sídla Objednávateľa uvedenú v záhlaví tejto zmluvy. Úhrada faktúry sa vykoná bezhotovostným prevodom na účet Zhotoviteľa, ktorý je uvedený v záhlaví tejto zmluvy. Pokiaľ počas platnosti a účinnosti tejto zmluvy dôjde k zmene čísla účtu ktorejkoľvek zmluvnej strany, zmluvné strany sú povinné si zmenu písomne oznámiť na adresu sídla uvedenú v záhlaví tejto zmluvy, a to najneskôr do piatich (5) pracovných dní odo dňa, kedy zmena nastala. Zmena čísla účtu bude vo vzťahu k druhej zmluvnej strane účinná odo dňa písomného oznámenia zmeny bez nutnosti uzatvoriť dodatok k tejto zmluve. </w:t>
      </w:r>
    </w:p>
    <w:p w:rsidR="00672C32" w:rsidRPr="00D6065A" w:rsidRDefault="00672C32" w:rsidP="00672C32">
      <w:pPr>
        <w:pStyle w:val="ListParagraph"/>
        <w:numPr>
          <w:ilvl w:val="0"/>
          <w:numId w:val="19"/>
        </w:numPr>
        <w:ind w:left="426" w:hanging="426"/>
        <w:contextualSpacing/>
        <w:jc w:val="both"/>
      </w:pPr>
      <w:r w:rsidRPr="00BC0644">
        <w:t xml:space="preserve">Faktúra musí obsahovať všetky náležitosti podľa zákona č. 222/2004 Z. z. o dani z pridanej hodnoty v znení neskorších predpisov. K faktúre musí byť priložený preberací protokol potvrdzujúci, že došlo k odovzdaniu a prevzatiu diela a podpísaný poverenými zástupcami oboch zmluvných strán, vrátane jeho príloh. Ak predložená faktúra nebude obsahovať náležitosti daňového dokladu, požadované prílohy alebo nebude vystavená v súlade s touto zmluvou, Objednávateľ ju vráti v lehote splatnosti Zhotoviteľovi na prepracovanie. Opravená faktúra je splatná do </w:t>
      </w:r>
      <w:r>
        <w:t>tridsať (30)</w:t>
      </w:r>
      <w:r w:rsidRPr="00BC0644">
        <w:t xml:space="preserve"> kalendárnych dní odo dňa jej doručenia Objednávateľovi na adresu jeho sídla uvedenú v záhlaví tejto zmluvy.</w:t>
      </w:r>
    </w:p>
    <w:p w:rsidR="00672C32" w:rsidRDefault="00672C32" w:rsidP="00672C32">
      <w:pPr>
        <w:contextualSpacing/>
        <w:jc w:val="both"/>
        <w:rPr>
          <w:b/>
          <w:color w:val="FF0000"/>
        </w:rPr>
      </w:pPr>
    </w:p>
    <w:p w:rsidR="00672C32" w:rsidRDefault="00672C32" w:rsidP="00672C32">
      <w:pPr>
        <w:contextualSpacing/>
        <w:jc w:val="both"/>
        <w:rPr>
          <w:b/>
          <w:color w:val="FF0000"/>
        </w:rPr>
      </w:pPr>
    </w:p>
    <w:p w:rsidR="00672C32" w:rsidRPr="00BC0644" w:rsidRDefault="00672C32" w:rsidP="00672C32">
      <w:pPr>
        <w:contextualSpacing/>
        <w:jc w:val="center"/>
        <w:rPr>
          <w:b/>
        </w:rPr>
      </w:pPr>
      <w:r w:rsidRPr="00BC0644">
        <w:rPr>
          <w:b/>
        </w:rPr>
        <w:t>Článok VIII</w:t>
      </w:r>
    </w:p>
    <w:p w:rsidR="00672C32" w:rsidRPr="00BC0644" w:rsidRDefault="00672C32" w:rsidP="00672C32">
      <w:pPr>
        <w:contextualSpacing/>
        <w:jc w:val="center"/>
        <w:rPr>
          <w:b/>
        </w:rPr>
      </w:pPr>
      <w:r w:rsidRPr="00BC0644">
        <w:rPr>
          <w:b/>
        </w:rPr>
        <w:t>ĎALŠIE PRÁVA A POVINNOSTI ZMLUVNÝCH STRÁN</w:t>
      </w:r>
    </w:p>
    <w:p w:rsidR="00672C32" w:rsidRPr="00BC0644" w:rsidRDefault="00672C32" w:rsidP="00672C32">
      <w:pPr>
        <w:pStyle w:val="ListParagraph"/>
        <w:ind w:left="567"/>
        <w:jc w:val="both"/>
      </w:pPr>
    </w:p>
    <w:p w:rsidR="00672C32" w:rsidRPr="00BC0644" w:rsidRDefault="00672C32" w:rsidP="00672C32">
      <w:pPr>
        <w:pStyle w:val="ListParagraph"/>
        <w:numPr>
          <w:ilvl w:val="1"/>
          <w:numId w:val="20"/>
        </w:numPr>
        <w:ind w:left="426" w:hanging="426"/>
        <w:contextualSpacing/>
        <w:jc w:val="both"/>
      </w:pPr>
      <w:r w:rsidRPr="00BC0644">
        <w:t>Objednávateľ má aj nasledovné práva a povinnosti:</w:t>
      </w:r>
    </w:p>
    <w:p w:rsidR="00672C32" w:rsidRPr="00BC0644" w:rsidRDefault="00672C32" w:rsidP="00672C32">
      <w:pPr>
        <w:pStyle w:val="ListParagraph"/>
        <w:numPr>
          <w:ilvl w:val="0"/>
          <w:numId w:val="10"/>
        </w:numPr>
        <w:ind w:left="851" w:hanging="425"/>
        <w:contextualSpacing/>
        <w:jc w:val="both"/>
      </w:pPr>
      <w:r w:rsidRPr="00BC0644">
        <w:t xml:space="preserve">Objednávateľ je oprávnený kontrolovať zhotovovanie diela v každom stupni jeho realizácie. Ak pri kontrole zistí, že Zhotoviteľ porušuje svoje povinnosti, má právo žiadať, aby Zhotoviteľ odstránil vady vzniknuté </w:t>
      </w:r>
      <w:proofErr w:type="spellStart"/>
      <w:r w:rsidRPr="00BC0644">
        <w:t>vadnou</w:t>
      </w:r>
      <w:proofErr w:type="spellEnd"/>
      <w:r w:rsidRPr="00BC0644">
        <w:t xml:space="preserve"> realizáciou diela a ďalej ho zhotovoval riadne. </w:t>
      </w:r>
    </w:p>
    <w:p w:rsidR="00672C32" w:rsidRPr="00BC0644" w:rsidRDefault="00672C32" w:rsidP="00672C32">
      <w:pPr>
        <w:pStyle w:val="ListParagraph"/>
        <w:numPr>
          <w:ilvl w:val="0"/>
          <w:numId w:val="10"/>
        </w:numPr>
        <w:ind w:left="851" w:hanging="425"/>
        <w:contextualSpacing/>
        <w:jc w:val="both"/>
      </w:pPr>
      <w:r w:rsidRPr="00BC0644">
        <w:t>Objednávateľ je povinný bezodkladne informovať Zhotoviteľa o prekážkach resp. iných okolnostiach, ktoré môžu brániť Zhotoviteľovi riadne plniť predmet zmluvy.</w:t>
      </w:r>
    </w:p>
    <w:p w:rsidR="00672C32" w:rsidRPr="00BC0644" w:rsidRDefault="00672C32" w:rsidP="00672C32">
      <w:pPr>
        <w:pStyle w:val="ListParagraph"/>
        <w:numPr>
          <w:ilvl w:val="0"/>
          <w:numId w:val="10"/>
        </w:numPr>
        <w:ind w:left="851" w:hanging="425"/>
        <w:contextualSpacing/>
        <w:jc w:val="both"/>
      </w:pPr>
      <w:r w:rsidRPr="00BC0644">
        <w:t>Objednávateľ je tiež povinný informovať Zhotoviteľa s dostatočným predstihom o technických a iných problémoch, ktoré bránia realizovať dielo v plánovanom termíne.</w:t>
      </w:r>
    </w:p>
    <w:p w:rsidR="00672C32" w:rsidRPr="00BC0644" w:rsidRDefault="00672C32" w:rsidP="00672C32">
      <w:pPr>
        <w:pStyle w:val="ListParagraph"/>
        <w:numPr>
          <w:ilvl w:val="0"/>
          <w:numId w:val="10"/>
        </w:numPr>
        <w:ind w:left="851" w:hanging="425"/>
        <w:contextualSpacing/>
        <w:jc w:val="both"/>
      </w:pPr>
      <w:r w:rsidRPr="00BC0644">
        <w:t>Objednávateľ má právo používať dielo v súlade s podmienkami tejto zmluvy.</w:t>
      </w:r>
    </w:p>
    <w:p w:rsidR="00672C32" w:rsidRPr="00BC0644" w:rsidRDefault="00672C32" w:rsidP="00672C32">
      <w:pPr>
        <w:pStyle w:val="ListParagraph"/>
        <w:numPr>
          <w:ilvl w:val="1"/>
          <w:numId w:val="20"/>
        </w:numPr>
        <w:ind w:left="426" w:hanging="426"/>
        <w:contextualSpacing/>
        <w:jc w:val="both"/>
      </w:pPr>
      <w:r w:rsidRPr="00BC0644">
        <w:t>Zhotoviteľ má aj nasledovné práva a povinnosti:</w:t>
      </w:r>
    </w:p>
    <w:p w:rsidR="00672C32" w:rsidRPr="00BC0644" w:rsidRDefault="00672C32" w:rsidP="00672C32">
      <w:pPr>
        <w:pStyle w:val="ListParagraph"/>
        <w:numPr>
          <w:ilvl w:val="0"/>
          <w:numId w:val="11"/>
        </w:numPr>
        <w:ind w:left="851" w:hanging="425"/>
        <w:contextualSpacing/>
        <w:jc w:val="both"/>
      </w:pPr>
      <w:r w:rsidRPr="00BC0644">
        <w:lastRenderedPageBreak/>
        <w:t xml:space="preserve">Zhotoviteľ predloží do siedmych (7) pracovných dní od nadobudnutia účinnosti </w:t>
      </w:r>
      <w:r>
        <w:t xml:space="preserve">tejto </w:t>
      </w:r>
      <w:r w:rsidRPr="00BC0644">
        <w:t xml:space="preserve">zmluvy zoznam kontaktných osôb zodpovedných za plnenie tejto zmluvy a kontaktných osôb na nahlasovanie reklamácií v rozsahu meno, priezvisko, </w:t>
      </w:r>
      <w:r>
        <w:t>funkcia, e-mailová adresa a telefonický kontakt a zároveň e-mailové adresy a</w:t>
      </w:r>
      <w:r w:rsidRPr="00BC0644">
        <w:t xml:space="preserve"> telefonický kontakt pre nahlasovanie vád</w:t>
      </w:r>
      <w:r>
        <w:t>,</w:t>
      </w:r>
    </w:p>
    <w:p w:rsidR="00672C32" w:rsidRPr="00BC0644" w:rsidRDefault="00672C32" w:rsidP="00672C32">
      <w:pPr>
        <w:pStyle w:val="ListParagraph"/>
        <w:numPr>
          <w:ilvl w:val="0"/>
          <w:numId w:val="11"/>
        </w:numPr>
        <w:ind w:left="851" w:hanging="425"/>
        <w:contextualSpacing/>
        <w:jc w:val="both"/>
      </w:pPr>
      <w:r w:rsidRPr="00BC0644">
        <w:t xml:space="preserve">Zhotoviteľ sa zaväzuje, že dodá dielo v množstve, rozsahu, kvalite a v prevedení podľa podmienok dohodnutých v tejto zmluve, </w:t>
      </w:r>
    </w:p>
    <w:p w:rsidR="00672C32" w:rsidRPr="00BC0644" w:rsidRDefault="00672C32" w:rsidP="00672C32">
      <w:pPr>
        <w:pStyle w:val="ListParagraph"/>
        <w:numPr>
          <w:ilvl w:val="0"/>
          <w:numId w:val="11"/>
        </w:numPr>
        <w:ind w:left="851" w:hanging="425"/>
        <w:contextualSpacing/>
        <w:jc w:val="both"/>
      </w:pPr>
      <w:r w:rsidRPr="00BC0644">
        <w:t>Zhotoviteľ je povinný bez zbytočného odkladu upozorniť na nevhodnú povahu alebo vady vecí, podkladov alebo pokynov daných mu Objednávateľom na realizáciu diela, ak Zhotoviteľ mohol túto nevhodnosť zistiť pri vynaložení odbornej spôsobilosti,</w:t>
      </w:r>
    </w:p>
    <w:p w:rsidR="00672C32" w:rsidRDefault="00672C32" w:rsidP="00672C32">
      <w:pPr>
        <w:pStyle w:val="ListParagraph"/>
        <w:numPr>
          <w:ilvl w:val="0"/>
          <w:numId w:val="11"/>
        </w:numPr>
        <w:ind w:left="851" w:hanging="425"/>
        <w:contextualSpacing/>
        <w:jc w:val="both"/>
      </w:pPr>
      <w:r w:rsidRPr="00BC0644">
        <w:t>Ak Zhotoviteľ zistí skryté prekážky na mieste, kde má dielo alebo jeho časť zhotoviť a tieto mu v tom bránia, je povinný ihneď takéto prekážky oznámiť Objednávateľovi,</w:t>
      </w:r>
    </w:p>
    <w:p w:rsidR="00672C32" w:rsidRPr="00BC0644" w:rsidRDefault="00672C32" w:rsidP="00672C32">
      <w:pPr>
        <w:pStyle w:val="ListParagraph"/>
        <w:numPr>
          <w:ilvl w:val="0"/>
          <w:numId w:val="11"/>
        </w:numPr>
        <w:ind w:left="851" w:hanging="425"/>
        <w:contextualSpacing/>
        <w:jc w:val="both"/>
      </w:pPr>
      <w:r>
        <w:t>Ak Zhotoviteľ zistí, že časové alebo obsahové plnenie zmluvy je ohrozené, je povinný o tom bezodkladne informovať Objednávateľa,</w:t>
      </w:r>
    </w:p>
    <w:p w:rsidR="00672C32" w:rsidRPr="00BC0644" w:rsidRDefault="00672C32" w:rsidP="00672C32">
      <w:pPr>
        <w:pStyle w:val="ListParagraph"/>
        <w:numPr>
          <w:ilvl w:val="0"/>
          <w:numId w:val="11"/>
        </w:numPr>
        <w:ind w:left="851" w:hanging="425"/>
        <w:contextualSpacing/>
        <w:jc w:val="both"/>
      </w:pPr>
      <w:r w:rsidRPr="00BC0644">
        <w:t>Zhotoviteľ sa zaväzuje zabezpečiť od svojich zamestnancov a/alebo subdodávateľov realizujúcich dielo, plnenie nasledovných povinností:</w:t>
      </w:r>
    </w:p>
    <w:p w:rsidR="00672C32" w:rsidRPr="00BC0644" w:rsidRDefault="00672C32" w:rsidP="00672C32">
      <w:pPr>
        <w:pStyle w:val="ListParagraph"/>
        <w:numPr>
          <w:ilvl w:val="0"/>
          <w:numId w:val="21"/>
        </w:numPr>
        <w:contextualSpacing/>
        <w:jc w:val="both"/>
      </w:pPr>
      <w:r w:rsidRPr="00BC0644">
        <w:t>dodržiavanie záväzku mlčanlivosti o informáciách, s ktorými počas výkonu prác pre Objednávateľa prišli do styku, a to aj po ukončení pracovného alebo obdobného pomeru,</w:t>
      </w:r>
    </w:p>
    <w:p w:rsidR="00672C32" w:rsidRPr="00BC0644" w:rsidRDefault="00672C32" w:rsidP="00672C32">
      <w:pPr>
        <w:pStyle w:val="ListParagraph"/>
        <w:numPr>
          <w:ilvl w:val="0"/>
          <w:numId w:val="21"/>
        </w:numPr>
        <w:contextualSpacing/>
        <w:jc w:val="both"/>
      </w:pPr>
      <w:r w:rsidRPr="00BC0644">
        <w:t>zachovávať mlčanlivosť o údajoch, vrátane osobných údajoch, s ktorými počas výkonu prác pre Objednávateľa prišli do styku. Údaje, vrátane osobných údajov, ku ktorým počas plnenia tejto zmluvy prišiel Zhotoviteľ do styku, nesmie ďalej spracúvať ani ich využiť pre vlastnú potrebu.</w:t>
      </w:r>
    </w:p>
    <w:p w:rsidR="00672C32" w:rsidRPr="00BC0644" w:rsidRDefault="00672C32" w:rsidP="00672C32">
      <w:pPr>
        <w:pStyle w:val="ListParagraph"/>
        <w:numPr>
          <w:ilvl w:val="1"/>
          <w:numId w:val="20"/>
        </w:numPr>
        <w:ind w:left="426" w:hanging="426"/>
        <w:contextualSpacing/>
        <w:jc w:val="both"/>
      </w:pPr>
      <w:r w:rsidRPr="00BC0644">
        <w:t>Zmluvné strany sa pri realizácii diela zaväzujú poskytovať si vzájomne súčinnosť, ktorou sa pre účely tejto zmluvy rozumie taká súčinnosť zmluvných strán, ktorá je nevyhnutná a náležitá pre riadne plnenie tejto zmluvy, a ktorá spočíva najmä v:</w:t>
      </w:r>
    </w:p>
    <w:p w:rsidR="00672C32" w:rsidRPr="00BC0644" w:rsidRDefault="00672C32" w:rsidP="00672C32">
      <w:pPr>
        <w:pStyle w:val="ListParagraph"/>
        <w:numPr>
          <w:ilvl w:val="0"/>
          <w:numId w:val="8"/>
        </w:numPr>
        <w:ind w:left="851" w:hanging="425"/>
        <w:contextualSpacing/>
        <w:jc w:val="both"/>
      </w:pPr>
      <w:r w:rsidRPr="00BC0644">
        <w:t>poskytnutí všetkých potrebných údajov</w:t>
      </w:r>
      <w:r>
        <w:t>, dokumentov</w:t>
      </w:r>
      <w:r w:rsidRPr="00BC0644">
        <w:t xml:space="preserve"> a prístupov zo strany Objednávateľa, ktoré môžu byť oprávnene požadované zo strany Zhotoviteľa za účelom riadneho plnenia predmetu tejto zmluvy,</w:t>
      </w:r>
    </w:p>
    <w:p w:rsidR="00672C32" w:rsidRPr="00BC0644" w:rsidRDefault="00672C32" w:rsidP="00672C32">
      <w:pPr>
        <w:pStyle w:val="ListParagraph"/>
        <w:numPr>
          <w:ilvl w:val="0"/>
          <w:numId w:val="8"/>
        </w:numPr>
        <w:ind w:left="851" w:hanging="425"/>
        <w:contextualSpacing/>
        <w:jc w:val="both"/>
      </w:pPr>
      <w:r w:rsidRPr="00BC0644">
        <w:t xml:space="preserve">zo strany Objednávateľa v zabezpečení pripravenosti príslušných priestorov, v ktorých sa bude realizovať dielo, vrátane ich uvoľnenia a sprístupnenia, zabezpečení funkčných prípojných miest na elektrickú energiu, zabezpečení prístupu zamestnancov Zhotoviteľa, resp. ním určených osôb do príslušných priestorov v súvislosti s plnením predmetu tejto zmluvy v rozsahu potrebnom k vykonaniu diela, </w:t>
      </w:r>
    </w:p>
    <w:p w:rsidR="00672C32" w:rsidRPr="00BC0644" w:rsidRDefault="00672C32" w:rsidP="00672C32">
      <w:pPr>
        <w:pStyle w:val="ListParagraph"/>
        <w:numPr>
          <w:ilvl w:val="0"/>
          <w:numId w:val="8"/>
        </w:numPr>
        <w:ind w:left="851" w:hanging="425"/>
        <w:contextualSpacing/>
        <w:jc w:val="both"/>
      </w:pPr>
      <w:r w:rsidRPr="00BC0644">
        <w:t xml:space="preserve">umožnením prístupu k hardvérovému a softvérovému vybaveniu Objednávateľa v rozsahu potrebnom k vykonaniu diela. </w:t>
      </w:r>
    </w:p>
    <w:p w:rsidR="00672C32" w:rsidRDefault="00672C32" w:rsidP="00672C32">
      <w:pPr>
        <w:contextualSpacing/>
        <w:jc w:val="both"/>
      </w:pP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IX</w:t>
      </w:r>
    </w:p>
    <w:p w:rsidR="00672C32" w:rsidRPr="00C4337F" w:rsidRDefault="00672C32" w:rsidP="00672C32">
      <w:pPr>
        <w:contextualSpacing/>
        <w:jc w:val="center"/>
        <w:rPr>
          <w:b/>
        </w:rPr>
      </w:pPr>
      <w:r w:rsidRPr="00C4337F">
        <w:rPr>
          <w:b/>
        </w:rPr>
        <w:t>ODOVZDANIE A PREVZATIE DIELA</w:t>
      </w:r>
    </w:p>
    <w:p w:rsidR="00672C32" w:rsidRPr="00C4337F" w:rsidRDefault="00672C32" w:rsidP="00672C32">
      <w:pPr>
        <w:contextualSpacing/>
        <w:jc w:val="both"/>
      </w:pPr>
    </w:p>
    <w:p w:rsidR="00672C32" w:rsidRPr="00C4337F" w:rsidRDefault="00672C32" w:rsidP="00672C32">
      <w:pPr>
        <w:pStyle w:val="ListParagraph"/>
        <w:numPr>
          <w:ilvl w:val="0"/>
          <w:numId w:val="22"/>
        </w:numPr>
        <w:ind w:left="426" w:hanging="426"/>
        <w:contextualSpacing/>
        <w:jc w:val="both"/>
      </w:pPr>
      <w:r w:rsidRPr="00C4337F">
        <w:t>Zhotoviteľ je povinný odovzdať dielo Objednávateľovi tak, aby ho bolo možné riadne a včas prevziať a používať dohodnutým spôsobom na dohodnutý účel podľa podmienok tejto zmluvy. Odovzdanie a prevzatie diela potvrdia oprávnené osoby zmluvných strán v preberacom protokole, ktorého vzor je uvedený v prílohe č. 2 tejto zmluvy.</w:t>
      </w:r>
      <w:r>
        <w:t xml:space="preserve"> </w:t>
      </w:r>
    </w:p>
    <w:p w:rsidR="00672C32" w:rsidRDefault="00672C32" w:rsidP="00672C32">
      <w:pPr>
        <w:pStyle w:val="ListParagraph"/>
        <w:numPr>
          <w:ilvl w:val="0"/>
          <w:numId w:val="22"/>
        </w:numPr>
        <w:ind w:left="426" w:hanging="426"/>
        <w:contextualSpacing/>
        <w:jc w:val="both"/>
      </w:pPr>
      <w:r w:rsidRPr="00324811">
        <w:t xml:space="preserve">Zhotoviteľ sa zaväzuje pri odovzdaní predmetu </w:t>
      </w:r>
      <w:r>
        <w:t>zmluvy</w:t>
      </w:r>
      <w:r w:rsidRPr="00324811">
        <w:t xml:space="preserve"> tento odovzdať </w:t>
      </w:r>
      <w:r>
        <w:t>O</w:t>
      </w:r>
      <w:r w:rsidRPr="00324811">
        <w:t>bjednávateľovi na dátovom nosiči (</w:t>
      </w:r>
      <w:r>
        <w:t xml:space="preserve">CD/DVD, USB kľúč, </w:t>
      </w:r>
      <w:r w:rsidRPr="00324811">
        <w:t>externý prenosný pevný disk s primeranou kapacitou a rozhraním nim. USB 3.0 alebo vyšším</w:t>
      </w:r>
      <w:r>
        <w:t xml:space="preserve"> a pod.</w:t>
      </w:r>
      <w:r w:rsidRPr="00324811">
        <w:t>) a</w:t>
      </w:r>
      <w:r>
        <w:t xml:space="preserve"> zároveň</w:t>
      </w:r>
      <w:r w:rsidRPr="00324811">
        <w:t xml:space="preserve"> v listinnej podobe. Predmet </w:t>
      </w:r>
      <w:r>
        <w:t>zmluvy</w:t>
      </w:r>
      <w:r w:rsidRPr="00324811">
        <w:t xml:space="preserve"> bude</w:t>
      </w:r>
      <w:r>
        <w:t xml:space="preserve"> Zhotoviteľom</w:t>
      </w:r>
      <w:r w:rsidRPr="00324811">
        <w:t xml:space="preserve"> odovzdaný v podobe, ktorá umožní jeho ďalšie využitie a spracovanie.</w:t>
      </w:r>
    </w:p>
    <w:p w:rsidR="00672C32" w:rsidRDefault="00672C32" w:rsidP="00672C32">
      <w:pPr>
        <w:pStyle w:val="ListParagraph"/>
        <w:numPr>
          <w:ilvl w:val="0"/>
          <w:numId w:val="22"/>
        </w:numPr>
        <w:ind w:left="426" w:hanging="426"/>
        <w:contextualSpacing/>
        <w:jc w:val="both"/>
      </w:pPr>
      <w:r w:rsidRPr="00C4337F">
        <w:t xml:space="preserve">Ak pri preberaní diela </w:t>
      </w:r>
      <w:r>
        <w:t>O</w:t>
      </w:r>
      <w:r w:rsidRPr="00C4337F">
        <w:t>bjednávateľ zistí, že</w:t>
      </w:r>
      <w:r>
        <w:t xml:space="preserve"> dielo</w:t>
      </w:r>
      <w:r w:rsidRPr="00C4337F">
        <w:t xml:space="preserve"> má vady, ktoré bránia používaniu diela, dielo neprevezme a spíše so </w:t>
      </w:r>
      <w:r>
        <w:t>Z</w:t>
      </w:r>
      <w:r w:rsidRPr="00C4337F">
        <w:t xml:space="preserve">hotoviteľom zápis o zistených vadách, spôsobe a termíne ich odstránenia. Zhotoviteľ má povinnosť odovzdať dielo po odstránení týchto vád. Až po odstránení vád môžu zmluvné strany pristúpiť k spísaniu preberacieho protokolu. V prípade, že </w:t>
      </w:r>
      <w:r w:rsidRPr="00C4337F">
        <w:lastRenderedPageBreak/>
        <w:t>má dielo vady zistené pri odovzdávaní diela a Zhotoviteľ neodstráni vady v lehote do odovzdania diela podľa čl. IV tejto Zmluvy, dostáva so do omeškania s odovzdaním diela.</w:t>
      </w:r>
    </w:p>
    <w:p w:rsidR="00672C32" w:rsidRPr="00BC0644" w:rsidRDefault="00672C32" w:rsidP="00672C32">
      <w:pPr>
        <w:pStyle w:val="ListParagraph"/>
        <w:numPr>
          <w:ilvl w:val="0"/>
          <w:numId w:val="22"/>
        </w:numPr>
        <w:ind w:left="426" w:hanging="426"/>
        <w:contextualSpacing/>
        <w:jc w:val="both"/>
      </w:pPr>
      <w:r w:rsidRPr="00BC0644">
        <w:t>Osoby oprávnené podpísať preberací protokol:</w:t>
      </w:r>
    </w:p>
    <w:p w:rsidR="00672C32" w:rsidRPr="00011304" w:rsidRDefault="00672C32" w:rsidP="00672C32">
      <w:pPr>
        <w:pStyle w:val="ListParagraph"/>
        <w:numPr>
          <w:ilvl w:val="0"/>
          <w:numId w:val="12"/>
        </w:numPr>
        <w:ind w:left="851" w:hanging="426"/>
        <w:contextualSpacing/>
        <w:jc w:val="both"/>
      </w:pPr>
      <w:r w:rsidRPr="00011304">
        <w:t xml:space="preserve">za Objednávateľa: </w:t>
      </w:r>
    </w:p>
    <w:p w:rsidR="00672C32" w:rsidRPr="00011304" w:rsidRDefault="00672C32" w:rsidP="00672C32">
      <w:pPr>
        <w:pStyle w:val="ListParagraph"/>
        <w:numPr>
          <w:ilvl w:val="1"/>
          <w:numId w:val="12"/>
        </w:numPr>
        <w:ind w:left="1276" w:hanging="447"/>
        <w:contextualSpacing/>
        <w:jc w:val="both"/>
      </w:pPr>
      <w:r w:rsidRPr="00011304">
        <w:t>...................................</w:t>
      </w:r>
    </w:p>
    <w:p w:rsidR="00672C32" w:rsidRPr="00011304" w:rsidRDefault="00672C32" w:rsidP="00672C32">
      <w:pPr>
        <w:ind w:left="1276"/>
        <w:jc w:val="both"/>
      </w:pPr>
      <w:r w:rsidRPr="00011304">
        <w:t xml:space="preserve">e-mail: </w:t>
      </w:r>
      <w:r>
        <w:t>..................................</w:t>
      </w:r>
    </w:p>
    <w:p w:rsidR="00672C32" w:rsidRPr="00011304" w:rsidRDefault="00672C32" w:rsidP="00672C32">
      <w:pPr>
        <w:ind w:left="1276"/>
        <w:jc w:val="both"/>
      </w:pPr>
      <w:r w:rsidRPr="00011304">
        <w:t>tel. č.: ...................................</w:t>
      </w:r>
    </w:p>
    <w:p w:rsidR="00672C32" w:rsidRDefault="00672C32" w:rsidP="00672C32">
      <w:pPr>
        <w:pStyle w:val="ListParagraph"/>
        <w:numPr>
          <w:ilvl w:val="1"/>
          <w:numId w:val="12"/>
        </w:numPr>
        <w:ind w:left="1276" w:hanging="447"/>
        <w:contextualSpacing/>
        <w:jc w:val="both"/>
      </w:pPr>
      <w:r w:rsidRPr="00011304">
        <w:t>...................................</w:t>
      </w:r>
    </w:p>
    <w:p w:rsidR="00672C32" w:rsidRPr="00011304" w:rsidRDefault="00672C32" w:rsidP="00672C32">
      <w:pPr>
        <w:ind w:left="567" w:firstLine="709"/>
        <w:jc w:val="both"/>
      </w:pPr>
      <w:r>
        <w:t>e-mail: .....................................</w:t>
      </w:r>
    </w:p>
    <w:p w:rsidR="00672C32" w:rsidRPr="00BF3241" w:rsidRDefault="00672C32" w:rsidP="00672C32">
      <w:pPr>
        <w:ind w:left="1276"/>
        <w:jc w:val="both"/>
      </w:pPr>
      <w:r w:rsidRPr="00011304">
        <w:t>tel. č.: ...................................</w:t>
      </w:r>
    </w:p>
    <w:p w:rsidR="00672C32" w:rsidRPr="00905FC5" w:rsidRDefault="00672C32" w:rsidP="00672C32">
      <w:pPr>
        <w:pStyle w:val="ListParagraph"/>
        <w:numPr>
          <w:ilvl w:val="0"/>
          <w:numId w:val="12"/>
        </w:numPr>
        <w:ind w:left="993" w:hanging="426"/>
        <w:contextualSpacing/>
        <w:jc w:val="both"/>
      </w:pPr>
      <w:r w:rsidRPr="00905FC5">
        <w:t>za Zhotoviteľa: .............................................</w:t>
      </w:r>
      <w:r>
        <w:t>............................</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X</w:t>
      </w:r>
    </w:p>
    <w:p w:rsidR="00672C32" w:rsidRPr="00BC0644" w:rsidRDefault="00672C32" w:rsidP="00672C32">
      <w:pPr>
        <w:contextualSpacing/>
        <w:jc w:val="center"/>
        <w:rPr>
          <w:b/>
        </w:rPr>
      </w:pPr>
      <w:r w:rsidRPr="00BC0644">
        <w:rPr>
          <w:b/>
        </w:rPr>
        <w:t xml:space="preserve">ZODPOVEDNOSŤ ZA VADY </w:t>
      </w:r>
    </w:p>
    <w:p w:rsidR="00672C32" w:rsidRPr="00BC0644" w:rsidRDefault="00672C32" w:rsidP="00672C32">
      <w:pPr>
        <w:contextualSpacing/>
        <w:jc w:val="both"/>
      </w:pPr>
    </w:p>
    <w:p w:rsidR="00672C32" w:rsidRPr="00BC0644" w:rsidRDefault="00672C32" w:rsidP="00672C32">
      <w:pPr>
        <w:pStyle w:val="ListParagraph"/>
        <w:numPr>
          <w:ilvl w:val="1"/>
          <w:numId w:val="23"/>
        </w:numPr>
        <w:ind w:left="567" w:hanging="567"/>
        <w:contextualSpacing/>
        <w:jc w:val="both"/>
      </w:pPr>
      <w:r w:rsidRPr="00BC0644">
        <w:t>Zhotoviteľ zodpovedá za vady diela v zmysle ustanovení § 560 a </w:t>
      </w:r>
      <w:proofErr w:type="spellStart"/>
      <w:r w:rsidRPr="00BC0644">
        <w:t>nasl</w:t>
      </w:r>
      <w:proofErr w:type="spellEnd"/>
      <w:r w:rsidRPr="00BC0644">
        <w:t xml:space="preserve">. Obchodného zákonníka. </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XI</w:t>
      </w:r>
    </w:p>
    <w:p w:rsidR="00672C32" w:rsidRPr="00BC0644" w:rsidRDefault="00672C32" w:rsidP="00672C32">
      <w:pPr>
        <w:contextualSpacing/>
        <w:jc w:val="center"/>
        <w:rPr>
          <w:b/>
        </w:rPr>
      </w:pPr>
      <w:r w:rsidRPr="00BC0644">
        <w:rPr>
          <w:b/>
        </w:rPr>
        <w:t>ÚROKY Z OMEŠKANIA</w:t>
      </w:r>
    </w:p>
    <w:p w:rsidR="00672C32" w:rsidRPr="00BC0644" w:rsidRDefault="00672C32" w:rsidP="00672C32">
      <w:pPr>
        <w:contextualSpacing/>
        <w:jc w:val="both"/>
      </w:pPr>
    </w:p>
    <w:p w:rsidR="00672C32" w:rsidRDefault="00672C32" w:rsidP="00672C32">
      <w:pPr>
        <w:pStyle w:val="ListParagraph"/>
        <w:numPr>
          <w:ilvl w:val="0"/>
          <w:numId w:val="24"/>
        </w:numPr>
        <w:ind w:left="567" w:hanging="567"/>
        <w:contextualSpacing/>
        <w:jc w:val="both"/>
      </w:pPr>
      <w:r w:rsidRPr="00BC0644">
        <w:t xml:space="preserve">V prípade omeškania Objednávateľa so zaplatením ceny podľa </w:t>
      </w:r>
      <w:r>
        <w:t xml:space="preserve">čl. VII </w:t>
      </w:r>
      <w:r w:rsidRPr="00BC0644">
        <w:t>bodu 7.1.</w:t>
      </w:r>
      <w:r>
        <w:t xml:space="preserve"> v spojení s bodom 7.6.</w:t>
      </w:r>
      <w:r w:rsidRPr="00BC0644">
        <w:t xml:space="preserve"> tejto zmluvy, je Zhotoviteľ oprávnený požadovať zaplatenie úrokov z omeškania, ktoré je Zhotoviteľ opr</w:t>
      </w:r>
      <w:r>
        <w:t xml:space="preserve">ávnený Objednávateľovi účtovať </w:t>
      </w:r>
      <w:r w:rsidRPr="00BC0644">
        <w:t>v sadzbe stanovenej všeobecne záväznými právnymi predpismi platnými a účinnými na území Slovenskej republiky v čase vyúčtovania úrokov z omeškania.</w:t>
      </w:r>
    </w:p>
    <w:p w:rsidR="00672C32" w:rsidRPr="00BC0644" w:rsidRDefault="00672C32" w:rsidP="00672C32">
      <w:pPr>
        <w:ind w:left="705" w:hanging="705"/>
        <w:jc w:val="both"/>
      </w:pPr>
    </w:p>
    <w:p w:rsidR="00672C32" w:rsidRPr="00BC0644" w:rsidRDefault="00672C32" w:rsidP="00672C32">
      <w:pPr>
        <w:contextualSpacing/>
        <w:jc w:val="center"/>
        <w:rPr>
          <w:b/>
        </w:rPr>
      </w:pPr>
      <w:r w:rsidRPr="00BC0644">
        <w:rPr>
          <w:b/>
        </w:rPr>
        <w:t>Článok XII</w:t>
      </w:r>
    </w:p>
    <w:p w:rsidR="00672C32" w:rsidRPr="00BC0644" w:rsidRDefault="00672C32" w:rsidP="00672C32">
      <w:pPr>
        <w:contextualSpacing/>
        <w:jc w:val="center"/>
        <w:rPr>
          <w:b/>
        </w:rPr>
      </w:pPr>
      <w:r w:rsidRPr="00BC0644">
        <w:rPr>
          <w:b/>
        </w:rPr>
        <w:t>ZODPOVEDNOSŤ ZA ŠKODU A ZMLUVNÉ POKUTY</w:t>
      </w:r>
    </w:p>
    <w:p w:rsidR="00672C32" w:rsidRPr="00BC0644" w:rsidRDefault="00672C32" w:rsidP="00672C32">
      <w:pPr>
        <w:contextualSpacing/>
        <w:jc w:val="both"/>
      </w:pPr>
    </w:p>
    <w:p w:rsidR="00672C32" w:rsidRPr="00BF3241" w:rsidRDefault="00672C32" w:rsidP="00672C32">
      <w:pPr>
        <w:pStyle w:val="ListParagraph"/>
        <w:numPr>
          <w:ilvl w:val="0"/>
          <w:numId w:val="25"/>
        </w:numPr>
        <w:ind w:left="567" w:hanging="567"/>
        <w:contextualSpacing/>
        <w:jc w:val="both"/>
      </w:pPr>
      <w:r w:rsidRPr="00BF3241">
        <w:t>V prípade vzniku škody porušením povinností vyplývajúcich z tejto zmluvy alebo zákona ktorejkoľvek zmluvnej strane, má druhá zmluvná strana nárok na náhradu vzniknutej škody.</w:t>
      </w:r>
    </w:p>
    <w:p w:rsidR="00672C32" w:rsidRPr="00BF3241" w:rsidRDefault="00672C32" w:rsidP="00672C32">
      <w:pPr>
        <w:pStyle w:val="ListParagraph"/>
        <w:numPr>
          <w:ilvl w:val="0"/>
          <w:numId w:val="25"/>
        </w:numPr>
        <w:ind w:left="567" w:hanging="567"/>
        <w:contextualSpacing/>
        <w:jc w:val="both"/>
      </w:pPr>
      <w:r w:rsidRPr="00087219">
        <w:t xml:space="preserve">Zhotoviteľ dielo zhotoví s náležitou odbornou starostlivosťou. Zhotoviteľ nesie zodpovednosť za úplnosť diela a jeho súlad s Nariadením GDPR a zákonom č. 18/2018 Z. z., vrátane vykonávacích predpisov s prihliadnutím na (túto) náležitú odbornú starostlivosť. Objednávateľ berie na vedomie, že (i) nie je možné objektívne posúdiť vecnú správnosť a úplnosť diela, (ii) výklad ustanovení Nariadenia GDPR nie je ustálený a stále sa vyvíja a (iii) vo vzťahu k Nariadeniu GDPR a jeho aplikácii neexistuje relevantná rozhodovacia prax príslušných orgánov. V prípade, že Objednávateľ po odovzdaní diela vykoná technické a organizačné opatrenia navrhnuté Zhotoviteľom v rámci odovzdaného diela, pričom na základe následnej kontroly zo strany orgánu dohľadu na úseku ochrany osobných údajov bude Objednávateľovi uložená akákoľvek sankcia z dôvodu nedostatočných opatrení, zodpovedá Zhotoviteľ za škodu spôsobenú Objednávateľovi v rozsahu uloženej sankcie a túto sa zaväzuje nahradiť v plnej výške; to neplatí, ak sankcia nebola uložená v dôsledku porušenia povinností Zhotoviteľa podľa tejto zmluvy a/alebo ak Objednávateľ nevyužil všetky právne prostriedky obrany proti rozhodnutiu o uložení sankcie, vrátane preskúmania rozhodnutia orgánu dohľadu súdom. Nedostatočnými opatreniami sa rozumie skutočnosť, ak technické a organizačné opatrenia uvedené v diele nie sú dostačujúce (orgán dohľadu vytkne, že opatrenia nemajú mieru zodpovedajúcu platnej legislatíve) alebo ak Zhotoviteľ neupozornil Objednávateľa na technické a organizačné opatrenia, ktoré by mal vykonať, pričom s prihliadnutím na všetky okolnosti a platnú legislatívu o takých skutočnostiach mal alebo mohol vedieť. Zodpovednosť Zhotoviteľa podľa tohto bodu sa bude posudzovať vo vzťahu k primeranosti/dostatočnosti technických a organizačných opatrení v čase dodania/odovzdania diela. Objednávateľ bude </w:t>
      </w:r>
      <w:r w:rsidRPr="00087219">
        <w:lastRenderedPageBreak/>
        <w:t>(podľa čl. 32 Nariadenia GDPR) v záujme zabezpečenia súladnosti s Nariadením GDPR, zákonom č. 18/2018 Z. z., vrátane vykonávacích predpisov (resp. bezpečnosti spracúvania) testovať, posudzovať a hodnotiť účinnosť prijatých technických a organizačných opatrení, pričom Zhotoviteľ sa v zmysle bodu 12 prílohy č. 1 tejto zmluvy zaväzuje poskytovať podporu Objednávateľovi v dohodnutom rozsahu. Objednávateľ berie na vedomie, že pri návrhu technických a organizačných opatrení vychádza Zhotoviteľ z informácií a dokumentov poskytnutých mu Objednávateľom, na úplnosť, správnosť a hodnovernosť, ktorých sa Zhotoviteľ spolieha</w:t>
      </w:r>
      <w:r w:rsidRPr="00BF3241">
        <w:t>.</w:t>
      </w:r>
    </w:p>
    <w:p w:rsidR="00672C32" w:rsidRPr="00BF3241" w:rsidRDefault="00672C32" w:rsidP="00672C32">
      <w:pPr>
        <w:pStyle w:val="ListParagraph"/>
        <w:numPr>
          <w:ilvl w:val="0"/>
          <w:numId w:val="25"/>
        </w:numPr>
        <w:ind w:left="567" w:hanging="567"/>
        <w:contextualSpacing/>
        <w:jc w:val="both"/>
      </w:pPr>
      <w:r w:rsidRPr="00087219">
        <w:t xml:space="preserve">V prípade omeškania Zhotoviteľa  s odovzdaním diela riadne a včas v lehote podľa čl. IV tejto zmluvy, je Objednávateľ oprávnený účtovať Zhotoviteľovi zmluvnú pokutu vo výške 0,1 % z  ceny plnenia s DPH uvedenej v čl. VII bode 7.6. písm. a) tejto zmluvy za každý začatý deň omeškania. </w:t>
      </w:r>
      <w:r w:rsidRPr="00122A21">
        <w:t>V prípade, že dôjde k omeškaniu Zhotoviteľa s dodaním diela riadne a včas v rozsahu podľa bodu 12 písm. b) a/alebo c) prílohy č. 1 tejto zmluvy, je Objednávateľ oprávnený účtovať Zhotoviteľovi zmluvnú pokutu vo výške 0,1 % z ceny plnenia uvedenej v čl. VII bode 7.6. tejto zmluvy pre príslušné plnenie.</w:t>
      </w:r>
      <w:r w:rsidRPr="00BF3241">
        <w:t xml:space="preserve"> </w:t>
      </w:r>
    </w:p>
    <w:p w:rsidR="00672C32" w:rsidRPr="00BC0644" w:rsidRDefault="00672C32" w:rsidP="00672C32">
      <w:pPr>
        <w:pStyle w:val="ListParagraph"/>
        <w:numPr>
          <w:ilvl w:val="0"/>
          <w:numId w:val="25"/>
        </w:numPr>
        <w:ind w:left="567" w:hanging="567"/>
        <w:contextualSpacing/>
        <w:jc w:val="both"/>
      </w:pPr>
      <w:r w:rsidRPr="00BC0644">
        <w:t xml:space="preserve">Zmluvné strany sa dohodli, že zmluvná pokuta sa uplatňuje formou faktúry vystavenej Objednávateľom. </w:t>
      </w:r>
      <w:r>
        <w:t>Zhotoviteľ</w:t>
      </w:r>
      <w:r w:rsidRPr="00BC0644">
        <w:t xml:space="preserve"> je v prípade podstatného porušenia zmluvných podmienok povinný uhradiť Objednávateľovi zmluvnú pokutu v súlade s touto zmluvou na účet Objednávateľa v lehote desiatich (10) kalendárnych dní odo dňa, kedy bola faktúra doručená </w:t>
      </w:r>
      <w:r>
        <w:t>Zhotoviteľovi</w:t>
      </w:r>
      <w:r w:rsidRPr="00BC0644">
        <w:t xml:space="preserve">. </w:t>
      </w:r>
    </w:p>
    <w:p w:rsidR="00672C32" w:rsidRPr="00BC0644" w:rsidRDefault="00672C32" w:rsidP="00672C32">
      <w:pPr>
        <w:pStyle w:val="ListParagraph"/>
        <w:numPr>
          <w:ilvl w:val="0"/>
          <w:numId w:val="25"/>
        </w:numPr>
        <w:ind w:left="567" w:hanging="567"/>
        <w:contextualSpacing/>
        <w:jc w:val="both"/>
      </w:pPr>
      <w:r w:rsidRPr="00BC0644">
        <w:t>Zaplatenie zmluvnej pokuty nemá vplyv na nárok na náhradu škody vzniknutej v súvislosti s porušením zmluvných povinností, ktorú je možné vymáhať samostatne a ktorá mu vznikla z nesplnenia povinnosti zabezpečenej zmluvnou pokutou.</w:t>
      </w:r>
    </w:p>
    <w:p w:rsidR="00672C32" w:rsidRPr="00BC0644" w:rsidRDefault="00672C32" w:rsidP="00672C32">
      <w:pPr>
        <w:pStyle w:val="ListParagraph"/>
        <w:numPr>
          <w:ilvl w:val="0"/>
          <w:numId w:val="25"/>
        </w:numPr>
        <w:ind w:left="567" w:hanging="567"/>
        <w:contextualSpacing/>
        <w:jc w:val="both"/>
      </w:pPr>
      <w:r w:rsidRPr="00BC0644">
        <w:t xml:space="preserve">Ak </w:t>
      </w:r>
      <w:r>
        <w:t>Zhotoviteľ</w:t>
      </w:r>
      <w:r w:rsidRPr="00BC0644">
        <w:t xml:space="preserve"> nedodrží akúkoľvek podmienku alebo požiadavku podľa tejto zmluvy, takéto konanie sa považuje za podstatné porušenie zmluvných podmienok.</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XIII</w:t>
      </w:r>
    </w:p>
    <w:p w:rsidR="00672C32" w:rsidRPr="00BC0644" w:rsidRDefault="00672C32" w:rsidP="00672C32">
      <w:pPr>
        <w:contextualSpacing/>
        <w:jc w:val="center"/>
        <w:rPr>
          <w:b/>
        </w:rPr>
      </w:pPr>
      <w:r w:rsidRPr="00BC0644">
        <w:rPr>
          <w:b/>
        </w:rPr>
        <w:t>ĎALŠIE DOJEDNANIA</w:t>
      </w:r>
    </w:p>
    <w:p w:rsidR="00672C32" w:rsidRPr="00BC0644" w:rsidRDefault="00672C32" w:rsidP="00672C32">
      <w:bookmarkStart w:id="1" w:name="_Ref467674275"/>
    </w:p>
    <w:p w:rsidR="00672C32" w:rsidRPr="00BC0644" w:rsidRDefault="00672C32" w:rsidP="00672C32">
      <w:pPr>
        <w:pStyle w:val="ListParagraph"/>
        <w:numPr>
          <w:ilvl w:val="0"/>
          <w:numId w:val="26"/>
        </w:numPr>
        <w:ind w:left="567" w:hanging="567"/>
        <w:contextualSpacing/>
        <w:jc w:val="both"/>
      </w:pPr>
      <w:r w:rsidRPr="00BC0644">
        <w:t xml:space="preserve">Zmluvné  strany sa dohodli, že o tejto zmluve a jej plnení zachovajú mlčanlivosť a že nebudú údaje, s ktorými prišli do styku alebo ktoré sa dozvedeli pri plnení záväzkov, ktoré im z tejto zmluvy vyplývajú, zverejňovať ani sprístupňovať tretím osobám; môžu tak urobiť výslovne s písomným súhlasom druhej zmluvnej strany. Ustanovenie tohto bodu sa nepoužije na sprístupnenie alebo poskytnutie údajov a informácií právnym, účtovným, daňovým alebo audítorským poradcom príslušnej zmluvnej strany, na povinné zverejnenie zmluvy, v prípade vzniku sporu súdu a právnemu zástupcovi a tiež v prípadoch uvedenia referencií o plnení tejto zmluvy na účely účasti zmluvnej strany vo verejnom obstarávaní alebo v inom výberovom konaní alebo súťaži. </w:t>
      </w:r>
      <w:bookmarkEnd w:id="1"/>
    </w:p>
    <w:p w:rsidR="00672C32" w:rsidRPr="00BC0644" w:rsidRDefault="00672C32" w:rsidP="00672C32">
      <w:pPr>
        <w:pStyle w:val="ListParagraph"/>
        <w:numPr>
          <w:ilvl w:val="0"/>
          <w:numId w:val="26"/>
        </w:numPr>
        <w:ind w:left="567" w:hanging="567"/>
        <w:contextualSpacing/>
        <w:jc w:val="both"/>
      </w:pPr>
      <w:r w:rsidRPr="00BC0644">
        <w:t xml:space="preserve">Zmluvné strany sa pri realizácii plnenia podľa tejto zmluvy zaväzujú poskytovať si navzájom bezodkladne všetky informácie, ktoré môžu byť potrebné pre riadne a včasné plnenie zmluvy ako aj informovať sa navzájom o všetkých skutočnostiach alebo okolnostiach, ktoré by mohli byť spôsobilé, či už priamo alebo nepriamo, zmariť alebo podstatne sťažiť plnenie zmluvy. </w:t>
      </w:r>
    </w:p>
    <w:p w:rsidR="00672C32" w:rsidRPr="00BC0644" w:rsidRDefault="00672C32" w:rsidP="00672C32">
      <w:pPr>
        <w:pStyle w:val="ListParagraph"/>
        <w:numPr>
          <w:ilvl w:val="0"/>
          <w:numId w:val="26"/>
        </w:numPr>
        <w:ind w:left="567" w:right="-2" w:hanging="567"/>
        <w:contextualSpacing/>
        <w:jc w:val="both"/>
      </w:pPr>
      <w:r w:rsidRPr="00BC0644">
        <w:t>V prípade, že Zhotoviteľ použije pri plnení predmetu zmluvy subdodávateľov, je povinný zabezpečiť, že budú postupovať s odbornou starostlivosťou, dodržiavať technické normy, príslušné všeobecne záväzne právne predpisy ako aj podmienky určené v tejto zmluve a jej prílohách, tiež predpisy súvisiace s bezpečnosťou práce a požiarnou bezpečnosťou. V každom prípade však Zhotoviteľ zodpovedá za dielo tak, ako keby dielo vykonával sám.</w:t>
      </w:r>
    </w:p>
    <w:p w:rsidR="00672C32" w:rsidRPr="00BC0644" w:rsidRDefault="00672C32" w:rsidP="00672C32">
      <w:pPr>
        <w:pStyle w:val="ListParagraph"/>
        <w:numPr>
          <w:ilvl w:val="0"/>
          <w:numId w:val="26"/>
        </w:numPr>
        <w:ind w:left="567" w:hanging="567"/>
        <w:contextualSpacing/>
        <w:jc w:val="both"/>
      </w:pPr>
      <w:r w:rsidRPr="00BC0644">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w:t>
      </w:r>
      <w:r w:rsidRPr="00BC0644">
        <w:lastRenderedPageBreak/>
        <w:t>vzniknuté z tejto zmluvy budú riešené na miestne a vecne príslušnom súde Slovenskej republiky podľa právneho poriadku Slovenskej republiky.</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XIV</w:t>
      </w:r>
    </w:p>
    <w:p w:rsidR="00672C32" w:rsidRPr="00BC0644" w:rsidRDefault="00672C32" w:rsidP="00672C32">
      <w:pPr>
        <w:contextualSpacing/>
        <w:jc w:val="center"/>
        <w:rPr>
          <w:b/>
        </w:rPr>
      </w:pPr>
      <w:r w:rsidRPr="00BC0644">
        <w:rPr>
          <w:b/>
        </w:rPr>
        <w:t>OCHRANA OSOBNÝCH ÚDAJOV</w:t>
      </w:r>
    </w:p>
    <w:p w:rsidR="00672C32" w:rsidRPr="00BC0644" w:rsidRDefault="00672C32" w:rsidP="00672C32">
      <w:pPr>
        <w:contextualSpacing/>
        <w:jc w:val="both"/>
        <w:rPr>
          <w:i/>
          <w:color w:val="FF0000"/>
        </w:rPr>
      </w:pPr>
    </w:p>
    <w:p w:rsidR="00672C32" w:rsidRPr="00D6065A" w:rsidRDefault="00672C32" w:rsidP="00672C32">
      <w:pPr>
        <w:pStyle w:val="ListParagraph"/>
        <w:numPr>
          <w:ilvl w:val="0"/>
          <w:numId w:val="27"/>
        </w:numPr>
        <w:ind w:left="567" w:hanging="567"/>
        <w:contextualSpacing/>
        <w:jc w:val="both"/>
      </w:pPr>
      <w:r w:rsidRPr="00BC0644">
        <w:t xml:space="preserve">Zmluvné strany prehlasujú, že na riadne a včasné </w:t>
      </w:r>
      <w:r>
        <w:t>dodanie diela</w:t>
      </w:r>
      <w:r w:rsidRPr="00BC0644">
        <w:t xml:space="preserve"> nie je potrebný prístup </w:t>
      </w:r>
      <w:r>
        <w:t>Zhotoviteľa</w:t>
      </w:r>
      <w:r w:rsidRPr="00BC0644">
        <w:t xml:space="preserve"> k osobným údajom zamestnancov Objednávateľa alebo zamestnancov organizácií v jeho zriaďovateľskej pôsobnosti, a  rovnako nie je potrebný prístup k osobným údajom obsiahnutým v Informačnom systéme katastra nehnuteľností, ktorý je súčasťou Informačnému systému geodézie, kartografie a katastra, </w:t>
      </w:r>
      <w:proofErr w:type="spellStart"/>
      <w:r w:rsidRPr="00BC0644">
        <w:t>t.j</w:t>
      </w:r>
      <w:proofErr w:type="spellEnd"/>
      <w:r w:rsidRPr="00BC0644">
        <w:t xml:space="preserve">. osobné údaje dotknutých osôb nebudú </w:t>
      </w:r>
      <w:r>
        <w:t>Zhotoviteľovi</w:t>
      </w:r>
      <w:r w:rsidRPr="00BC0644">
        <w:t xml:space="preserve"> poskytnuté a nie sú nevyhnutne potrebné k riadnemu a včasnému </w:t>
      </w:r>
      <w:r>
        <w:t>vykonaniu diela</w:t>
      </w:r>
      <w:r w:rsidRPr="00BC0644">
        <w:t xml:space="preserve"> podľa tejto zmluvy.</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XV</w:t>
      </w:r>
    </w:p>
    <w:p w:rsidR="00672C32" w:rsidRPr="00BC0644" w:rsidRDefault="00672C32" w:rsidP="00672C32">
      <w:pPr>
        <w:contextualSpacing/>
        <w:jc w:val="center"/>
        <w:rPr>
          <w:b/>
        </w:rPr>
      </w:pPr>
      <w:r w:rsidRPr="00BC0644">
        <w:rPr>
          <w:b/>
        </w:rPr>
        <w:t>TRVANIE A ZÁNIK ZMLUVY</w:t>
      </w:r>
    </w:p>
    <w:p w:rsidR="00672C32" w:rsidRPr="00BC0644" w:rsidRDefault="00672C32" w:rsidP="00672C32">
      <w:pPr>
        <w:contextualSpacing/>
        <w:jc w:val="both"/>
      </w:pPr>
    </w:p>
    <w:p w:rsidR="00672C32" w:rsidRPr="00BC0644" w:rsidRDefault="00672C32" w:rsidP="00672C32">
      <w:pPr>
        <w:pStyle w:val="ListParagraph"/>
        <w:numPr>
          <w:ilvl w:val="0"/>
          <w:numId w:val="28"/>
        </w:numPr>
        <w:ind w:left="567" w:hanging="567"/>
        <w:contextualSpacing/>
        <w:jc w:val="both"/>
      </w:pPr>
      <w:r w:rsidRPr="00BC0644">
        <w:t>Od zmluvy môže ktorákoľvek zo zmluvných strán odstúpiť v prípadoch podstatného porušenia zmluvy. Za podstatné porušenie sa považuje také konanie alebo opomenutie Objednávateľa, ktorým poruší povinnosť poskytnutia súč</w:t>
      </w:r>
      <w:r>
        <w:t>innosti podľa čl. VIII</w:t>
      </w:r>
      <w:r w:rsidRPr="00BC0644">
        <w:t xml:space="preserve"> bodu 8.1. </w:t>
      </w:r>
      <w:r>
        <w:t xml:space="preserve">tejto </w:t>
      </w:r>
      <w:r w:rsidRPr="00BC0644">
        <w:t xml:space="preserve">zmluvy a neuhradenie ceny za dielo riadne a včas podľa čl. VII </w:t>
      </w:r>
      <w:r>
        <w:t xml:space="preserve">tejto </w:t>
      </w:r>
      <w:r w:rsidRPr="00BC0644">
        <w:t>zmluvy. Za podstatné porušenie zmluvy zo strany Zhotoviteľa sa považuje nedodržanie povinnosti vykonať dielo riadne a včas, s výnimkou prípadu, ak mu vo vykonaní diela bráni neposkytnutie súčinnosti zo strany Objednávateľa. Neposkytnutie súčinnosti zo strany Objednávateľa je na naplnenie podmienky podľa predchádzajúcej vety potrebné objektívne preukázať. Dielo je poskytnuté včas, pokiaľ je odovzda</w:t>
      </w:r>
      <w:r>
        <w:t>né v lehote podľa čl. IV tejto z</w:t>
      </w:r>
      <w:r w:rsidRPr="00BC0644">
        <w:t>mluvy. Dielo je poskytnuté riadne pokiaľ je odovzdané úplne, t.</w:t>
      </w:r>
      <w:r>
        <w:t xml:space="preserve"> </w:t>
      </w:r>
      <w:r w:rsidRPr="00BC0644">
        <w:t>j. obsahuje všetky nálež</w:t>
      </w:r>
      <w:r>
        <w:t>itosti uvedené v čl. III tejto z</w:t>
      </w:r>
      <w:r w:rsidRPr="00BC0644">
        <w:t>mluvy a nevykazuje vady.</w:t>
      </w:r>
    </w:p>
    <w:p w:rsidR="00672C32" w:rsidRDefault="00672C32" w:rsidP="00672C32">
      <w:pPr>
        <w:pStyle w:val="ListParagraph"/>
        <w:numPr>
          <w:ilvl w:val="0"/>
          <w:numId w:val="28"/>
        </w:numPr>
        <w:ind w:left="567" w:hanging="567"/>
        <w:contextualSpacing/>
        <w:jc w:val="both"/>
      </w:pPr>
      <w:r w:rsidRPr="00BC0644">
        <w:t>Odstúpenie od zmluvy je účinné dňom doručenia písomného oznámenia o odstúpení od zmluvy druhej zmluvnej strane. Odstúpenie od zmluvy musí mať písomnú formu, musí sa v ňom uviesť dôvod odstúpe</w:t>
      </w:r>
      <w:r>
        <w:t>nia a musí byť doručené druhej z</w:t>
      </w:r>
      <w:r w:rsidRPr="00BC0644">
        <w:t>mluvnej strane na adresu sídla uvedenú v záhlaví tejto zmluvy. Účinky odstúpenia od zmluvy nastanú dňom doručen</w:t>
      </w:r>
      <w:r>
        <w:t>ia odstúpenia od zmluvy druhej z</w:t>
      </w:r>
      <w:r w:rsidRPr="00BC0644">
        <w:t>mluvnej strane. Odstúpením od zmluvy nezanikajú nároky na zaplatenie zmluvných pokút a úrokov z omeškania a nezaniká ani nárok na náhradu škody. Platným odstúpením od zmluvy sa táto zmluva zrušuje od momentu doručenia písomné</w:t>
      </w:r>
      <w:r>
        <w:t>ho odstúpenia od zmluvy druhej z</w:t>
      </w:r>
      <w:r w:rsidRPr="00BC0644">
        <w:t xml:space="preserve">mluvnej strane. </w:t>
      </w:r>
    </w:p>
    <w:p w:rsidR="00672C32" w:rsidRDefault="00672C32" w:rsidP="00672C32">
      <w:pPr>
        <w:pStyle w:val="ListParagraph"/>
        <w:numPr>
          <w:ilvl w:val="0"/>
          <w:numId w:val="28"/>
        </w:numPr>
        <w:ind w:left="567" w:hanging="567"/>
        <w:contextualSpacing/>
        <w:jc w:val="both"/>
      </w:pPr>
      <w:r w:rsidRPr="00087219">
        <w:t>V prípade odstúpenia od Zmluvy nie je Objednávateľ povinný prevziať a uhradiť neukončené časti diela a taktiež nie je povinný zaplatiť rozpracovanosť prác ku dňu odstúpenia od Zmluvy.</w:t>
      </w:r>
    </w:p>
    <w:p w:rsidR="00672C32" w:rsidRDefault="00672C32" w:rsidP="00672C32">
      <w:pPr>
        <w:pStyle w:val="ListParagraph"/>
        <w:numPr>
          <w:ilvl w:val="0"/>
          <w:numId w:val="28"/>
        </w:numPr>
        <w:ind w:left="567" w:hanging="567"/>
        <w:contextualSpacing/>
        <w:jc w:val="both"/>
      </w:pPr>
      <w:r w:rsidRPr="00BC0644">
        <w:t>Zmluvu možno ukončiť aj písomnou dohodou zmluvných strán.</w:t>
      </w:r>
    </w:p>
    <w:p w:rsidR="00672C32" w:rsidRPr="00BC0644" w:rsidRDefault="00672C32" w:rsidP="00672C32">
      <w:pPr>
        <w:contextualSpacing/>
        <w:jc w:val="both"/>
      </w:pPr>
    </w:p>
    <w:p w:rsidR="00672C32" w:rsidRPr="00BC0644" w:rsidRDefault="00672C32" w:rsidP="00672C32">
      <w:pPr>
        <w:contextualSpacing/>
        <w:jc w:val="center"/>
        <w:rPr>
          <w:b/>
        </w:rPr>
      </w:pPr>
      <w:r w:rsidRPr="00BC0644">
        <w:rPr>
          <w:b/>
        </w:rPr>
        <w:t>Článok XVI</w:t>
      </w:r>
    </w:p>
    <w:p w:rsidR="00672C32" w:rsidRPr="00BC0644" w:rsidRDefault="00672C32" w:rsidP="00672C32">
      <w:pPr>
        <w:contextualSpacing/>
        <w:jc w:val="center"/>
        <w:rPr>
          <w:b/>
        </w:rPr>
      </w:pPr>
      <w:r w:rsidRPr="00BC0644">
        <w:rPr>
          <w:b/>
        </w:rPr>
        <w:t>ZÁVEREČNÉ USTANOVENIA</w:t>
      </w:r>
    </w:p>
    <w:p w:rsidR="00672C32" w:rsidRPr="00BC0644" w:rsidRDefault="00672C32" w:rsidP="00672C32">
      <w:pPr>
        <w:contextualSpacing/>
        <w:jc w:val="both"/>
      </w:pPr>
    </w:p>
    <w:p w:rsidR="00672C32" w:rsidRDefault="00672C32" w:rsidP="00672C32">
      <w:pPr>
        <w:pStyle w:val="ListParagraph"/>
        <w:numPr>
          <w:ilvl w:val="0"/>
          <w:numId w:val="29"/>
        </w:numPr>
        <w:ind w:left="567" w:hanging="567"/>
        <w:contextualSpacing/>
        <w:jc w:val="both"/>
      </w:pPr>
      <w:r w:rsidRPr="00BC0644">
        <w:t>Na vzťahy medzi zmluvnými stranami vyplývajúce z tejto zmluvy, ale ňou výslovne neupravené sa vzťahujú príslušné ustanovenia Obchodného zákonníka v platnom znení.</w:t>
      </w:r>
    </w:p>
    <w:p w:rsidR="00672C32" w:rsidRPr="00BC0644" w:rsidRDefault="00672C32" w:rsidP="00672C32">
      <w:pPr>
        <w:pStyle w:val="ListParagraph"/>
        <w:numPr>
          <w:ilvl w:val="0"/>
          <w:numId w:val="29"/>
        </w:numPr>
        <w:ind w:left="567" w:hanging="567"/>
        <w:contextualSpacing/>
        <w:jc w:val="both"/>
      </w:pPr>
      <w:r w:rsidRPr="00BC0644">
        <w:t>Zmluva nadobúda platnosť dňom podpisu obidvoma zmluvnými stranami a účinnosť dňom nasledujúcim po dni jej zverejnenia v Centrálnom registri zmlúv vedenom Úradom vlády SR.</w:t>
      </w:r>
    </w:p>
    <w:p w:rsidR="00672C32" w:rsidRPr="00BC0644" w:rsidRDefault="00672C32" w:rsidP="00672C32">
      <w:pPr>
        <w:pStyle w:val="ListParagraph"/>
        <w:numPr>
          <w:ilvl w:val="0"/>
          <w:numId w:val="29"/>
        </w:numPr>
        <w:ind w:left="567" w:hanging="567"/>
        <w:contextualSpacing/>
        <w:jc w:val="both"/>
      </w:pPr>
      <w:r w:rsidRPr="00BC0644">
        <w:t>Zmluva je vyhotovená v piatich (5) rovnopisoch</w:t>
      </w:r>
      <w:r>
        <w:t xml:space="preserve"> s platnosťou originálu</w:t>
      </w:r>
      <w:r w:rsidRPr="00BC0644">
        <w:t xml:space="preserve">, z ktorých tri (3) </w:t>
      </w:r>
      <w:r>
        <w:t xml:space="preserve">rovnopisy </w:t>
      </w:r>
      <w:r w:rsidRPr="00BC0644">
        <w:t>obdrží Objednávateľ a dva</w:t>
      </w:r>
      <w:r>
        <w:t xml:space="preserve"> </w:t>
      </w:r>
      <w:r w:rsidRPr="00BC0644">
        <w:t xml:space="preserve">(2) </w:t>
      </w:r>
      <w:r>
        <w:t xml:space="preserve">rovnopisy obdrží </w:t>
      </w:r>
      <w:r w:rsidRPr="00BC0644">
        <w:t>Zhotoviteľ.</w:t>
      </w:r>
    </w:p>
    <w:p w:rsidR="00672C32" w:rsidRPr="00BC0644" w:rsidRDefault="00672C32" w:rsidP="00672C32">
      <w:pPr>
        <w:pStyle w:val="ListParagraph"/>
        <w:numPr>
          <w:ilvl w:val="0"/>
          <w:numId w:val="29"/>
        </w:numPr>
        <w:ind w:left="567" w:hanging="567"/>
        <w:contextualSpacing/>
        <w:jc w:val="both"/>
      </w:pPr>
      <w:r w:rsidRPr="00BC0644">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w:t>
      </w:r>
      <w:r w:rsidRPr="00BC0644">
        <w:lastRenderedPageBreak/>
        <w:t>účelu ustanovenia neplatného alebo neúčinného. Do uzavretia takého dodatku platí zodpovedajúca právna úprava všeobecne záväzných právnych predpisov Slovenskej republiky.</w:t>
      </w:r>
    </w:p>
    <w:p w:rsidR="00672C32" w:rsidRPr="00BC0644" w:rsidRDefault="00672C32" w:rsidP="00672C32">
      <w:pPr>
        <w:pStyle w:val="ListParagraph"/>
        <w:numPr>
          <w:ilvl w:val="0"/>
          <w:numId w:val="29"/>
        </w:numPr>
        <w:ind w:left="567" w:hanging="567"/>
        <w:contextualSpacing/>
        <w:jc w:val="both"/>
      </w:pPr>
      <w:r w:rsidRPr="00BC0644">
        <w:t>Akékoľvek zmeny a doplnky tejto zmluvy je možné vykonať len po vzájomnej dohode zmluvných strán, formou písomného a očíslovaného dodatku, podpísaného oprávnenými zástupcami zmluvných strán, inak je zmena či doplnenie neplatné a neúčinné voči druhej zmluvnej strane.</w:t>
      </w:r>
    </w:p>
    <w:p w:rsidR="00672C32" w:rsidRPr="00BC0644" w:rsidRDefault="00672C32" w:rsidP="00672C32">
      <w:pPr>
        <w:pStyle w:val="ListParagraph"/>
        <w:numPr>
          <w:ilvl w:val="0"/>
          <w:numId w:val="29"/>
        </w:numPr>
        <w:ind w:left="567" w:hanging="567"/>
        <w:contextualSpacing/>
        <w:jc w:val="both"/>
      </w:pPr>
      <w:r w:rsidRPr="00BC0644">
        <w:t xml:space="preserve">Písomnosti podľa tejto </w:t>
      </w:r>
      <w:r>
        <w:t>z</w:t>
      </w:r>
      <w:r w:rsidRPr="00BC0644">
        <w:t xml:space="preserve">mluvy sa doručujú na adresy zmluvných strán uvedené v záhlaví tejto </w:t>
      </w:r>
      <w:r>
        <w:t>z</w:t>
      </w:r>
      <w:r w:rsidRPr="00BC0644">
        <w:t xml:space="preserve">mluvy, alebo na inú adresu písomne oznámenú niektorou zmluvnou stranou ostatným zmluvným stranám. Všetky takéto písomnosti sa doručujú poštou vo forme doporučenej zásielky, pričom ak v zmluve nie je uvedené inak, pre plynutie lehôt a posúdenie právnych účinkov jednotlivých písomných právnych úkonov je rozhodujúci deň prevzatia písomnosti adresátom vyznačený na doručenke. Ak sa zásielka z akéhokoľvek dôvodu vráti odosielateľovi, považuje sa deň jej vrátenia za deň doručenia písomnosti, a to aj vtedy, ak sa adresát o odoslaní zásielky a jej prípadnom uložení na pošte nedozvedel. Zásielka sa považuje za doručenú aj dňom odmietnutia jej prevzatia. </w:t>
      </w:r>
    </w:p>
    <w:p w:rsidR="00672C32" w:rsidRPr="00BC0644" w:rsidRDefault="00672C32" w:rsidP="00672C32">
      <w:pPr>
        <w:pStyle w:val="ListParagraph"/>
        <w:numPr>
          <w:ilvl w:val="0"/>
          <w:numId w:val="29"/>
        </w:numPr>
        <w:ind w:left="567" w:hanging="567"/>
        <w:contextualSpacing/>
        <w:jc w:val="both"/>
      </w:pPr>
      <w:r w:rsidRPr="00BC0644">
        <w:t>Písomnosti, ktoré sa podľa tejto zmluvy doručujú e-mailom sa považujú za doručené, keď je odosielateľovi doručený potvrdzujúci e-mail o tom, že písomnosť bola doručená na určenú e-mailovú adresu. Zmluvné strany zodpovedajú za funkčnosť e-mailovej adresy, ktorú si zvolili na komunikáciu podľa tejto zmluvy. V prípade, že bude odosielateľovi doručený e-mail o tom, že písomnosť nie je možné doručiť, pričom odosielateľ uviedol e-mailovú adresu podľa zmluvy, považuje sa písomnosť za doručenú odoslaním písomnosti na e-mailovú adresu podľa zmluvy, aj keď sa adresát písomnosti o doručení písomnosti nedozvedel.</w:t>
      </w:r>
    </w:p>
    <w:p w:rsidR="00672C32" w:rsidRDefault="00672C32" w:rsidP="00672C32">
      <w:pPr>
        <w:pStyle w:val="ListParagraph"/>
        <w:numPr>
          <w:ilvl w:val="0"/>
          <w:numId w:val="29"/>
        </w:numPr>
        <w:ind w:left="567" w:hanging="567"/>
        <w:contextualSpacing/>
        <w:jc w:val="both"/>
      </w:pPr>
      <w:r w:rsidRPr="00BC0644">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rsidR="00672C32" w:rsidRPr="00BC0644" w:rsidRDefault="00672C32" w:rsidP="00672C32">
      <w:pPr>
        <w:pStyle w:val="ListParagraph"/>
        <w:ind w:left="567"/>
        <w:contextualSpacing/>
        <w:jc w:val="both"/>
      </w:pPr>
    </w:p>
    <w:p w:rsidR="00672C32" w:rsidRPr="00BC0644" w:rsidRDefault="00672C32" w:rsidP="00672C32">
      <w:pPr>
        <w:pStyle w:val="ListParagraph"/>
        <w:numPr>
          <w:ilvl w:val="0"/>
          <w:numId w:val="29"/>
        </w:numPr>
        <w:ind w:left="567" w:hanging="567"/>
        <w:contextualSpacing/>
        <w:jc w:val="both"/>
      </w:pPr>
      <w:r w:rsidRPr="00BC0644">
        <w:t>Neoddeliteľnú súčasť tejto zmluvy tvorí:</w:t>
      </w:r>
    </w:p>
    <w:p w:rsidR="00672C32" w:rsidRPr="00BC0644" w:rsidRDefault="00672C32" w:rsidP="00672C32">
      <w:pPr>
        <w:ind w:firstLine="567"/>
        <w:contextualSpacing/>
        <w:jc w:val="both"/>
      </w:pPr>
      <w:r w:rsidRPr="00BC0644">
        <w:t xml:space="preserve">Príloha č. 1 – Opis </w:t>
      </w:r>
      <w:r>
        <w:t>diela</w:t>
      </w:r>
    </w:p>
    <w:p w:rsidR="00672C32" w:rsidRPr="00BC0644" w:rsidRDefault="00672C32" w:rsidP="00672C32">
      <w:pPr>
        <w:ind w:firstLine="567"/>
        <w:contextualSpacing/>
        <w:jc w:val="both"/>
      </w:pPr>
      <w:r w:rsidRPr="00BC0644">
        <w:t>Príloha č. 2 – Vzor preberacieho protokolu</w:t>
      </w:r>
    </w:p>
    <w:p w:rsidR="00672C32" w:rsidRPr="00BC0644" w:rsidRDefault="00672C32" w:rsidP="00672C32">
      <w:pPr>
        <w:contextualSpacing/>
        <w:jc w:val="both"/>
      </w:pPr>
    </w:p>
    <w:p w:rsidR="00672C32" w:rsidRDefault="00672C32" w:rsidP="00672C32">
      <w:pPr>
        <w:contextualSpacing/>
        <w:jc w:val="both"/>
      </w:pPr>
    </w:p>
    <w:p w:rsidR="00672C32" w:rsidRPr="00BC0644" w:rsidRDefault="00672C32" w:rsidP="00672C32">
      <w:pPr>
        <w:contextualSpacing/>
        <w:jc w:val="both"/>
      </w:pPr>
    </w:p>
    <w:p w:rsidR="00672C32" w:rsidRDefault="00672C32" w:rsidP="00672C32">
      <w:pPr>
        <w:contextualSpacing/>
        <w:jc w:val="both"/>
      </w:pPr>
      <w:r w:rsidRPr="00BC0644">
        <w:t xml:space="preserve">V ................... dňa </w:t>
      </w:r>
      <w:r>
        <w:t>..................</w:t>
      </w:r>
      <w:r>
        <w:tab/>
      </w:r>
      <w:r>
        <w:tab/>
      </w:r>
      <w:r w:rsidRPr="00BC0644">
        <w:t xml:space="preserve">V ................... dňa </w:t>
      </w:r>
      <w:r>
        <w:t>..................</w:t>
      </w:r>
    </w:p>
    <w:p w:rsidR="00672C32" w:rsidRPr="00BC0644" w:rsidRDefault="00672C32" w:rsidP="00672C32">
      <w:pPr>
        <w:contextualSpacing/>
        <w:jc w:val="both"/>
      </w:pPr>
    </w:p>
    <w:p w:rsidR="00672C32" w:rsidRDefault="00672C32" w:rsidP="00672C32">
      <w:pPr>
        <w:contextualSpacing/>
        <w:jc w:val="both"/>
        <w:rPr>
          <w:b/>
        </w:rPr>
      </w:pPr>
      <w:r w:rsidRPr="00BC0644">
        <w:rPr>
          <w:b/>
        </w:rPr>
        <w:t>Objednávateľ</w:t>
      </w:r>
      <w:r>
        <w:rPr>
          <w:b/>
        </w:rPr>
        <w:tab/>
      </w:r>
      <w:r>
        <w:rPr>
          <w:b/>
        </w:rPr>
        <w:tab/>
      </w:r>
      <w:r>
        <w:rPr>
          <w:b/>
        </w:rPr>
        <w:tab/>
      </w:r>
      <w:r>
        <w:rPr>
          <w:b/>
        </w:rPr>
        <w:tab/>
        <w:t>Zhotoviteľ</w:t>
      </w:r>
    </w:p>
    <w:p w:rsidR="00672C32" w:rsidRDefault="00672C32" w:rsidP="00672C32">
      <w:pPr>
        <w:contextualSpacing/>
        <w:jc w:val="both"/>
        <w:rPr>
          <w:b/>
        </w:rPr>
      </w:pPr>
    </w:p>
    <w:p w:rsidR="00672C32" w:rsidRDefault="00672C32" w:rsidP="00672C32">
      <w:pPr>
        <w:contextualSpacing/>
        <w:jc w:val="both"/>
        <w:rPr>
          <w:b/>
        </w:rPr>
      </w:pPr>
    </w:p>
    <w:p w:rsidR="00672C32" w:rsidRDefault="00672C32" w:rsidP="00672C32">
      <w:pPr>
        <w:contextualSpacing/>
        <w:jc w:val="both"/>
        <w:rPr>
          <w:b/>
        </w:rPr>
      </w:pPr>
    </w:p>
    <w:p w:rsidR="00672C32" w:rsidRPr="00BC0644" w:rsidRDefault="00672C32" w:rsidP="00672C32">
      <w:pPr>
        <w:contextualSpacing/>
        <w:jc w:val="both"/>
        <w:rPr>
          <w:b/>
        </w:rPr>
      </w:pPr>
    </w:p>
    <w:p w:rsidR="00672C32" w:rsidRPr="00BC0644" w:rsidRDefault="00672C32" w:rsidP="00672C32">
      <w:pPr>
        <w:tabs>
          <w:tab w:val="left" w:pos="4253"/>
        </w:tabs>
      </w:pPr>
      <w:r w:rsidRPr="00BC0644">
        <w:t>_______________________________</w:t>
      </w:r>
      <w:r>
        <w:tab/>
      </w:r>
      <w:r>
        <w:tab/>
      </w:r>
      <w:r w:rsidRPr="00BC0644">
        <w:t>________________________________</w:t>
      </w:r>
    </w:p>
    <w:p w:rsidR="00672C32" w:rsidRPr="00BC0644" w:rsidRDefault="00672C32" w:rsidP="00672C32">
      <w:pPr>
        <w:tabs>
          <w:tab w:val="left" w:pos="3463"/>
        </w:tabs>
        <w:ind w:left="2693" w:right="142" w:hanging="2693"/>
      </w:pPr>
      <w:r>
        <w:t xml:space="preserve">                    </w:t>
      </w:r>
      <w:r w:rsidRPr="00BC0644">
        <w:t xml:space="preserve">Ing. </w:t>
      </w:r>
      <w:r>
        <w:t>Ján Mrva</w:t>
      </w:r>
      <w:r>
        <w:tab/>
      </w:r>
      <w:r>
        <w:tab/>
      </w:r>
      <w:r>
        <w:tab/>
      </w:r>
      <w:r>
        <w:tab/>
      </w:r>
      <w:r>
        <w:tab/>
      </w:r>
      <w:r w:rsidRPr="00652A62">
        <w:t xml:space="preserve">Titul, meno, priezvisko, </w:t>
      </w:r>
    </w:p>
    <w:p w:rsidR="00672C32" w:rsidRPr="00BC0644" w:rsidRDefault="00672C32" w:rsidP="00672C32">
      <w:pPr>
        <w:tabs>
          <w:tab w:val="left" w:pos="3463"/>
        </w:tabs>
        <w:ind w:left="2693" w:right="142" w:hanging="2693"/>
      </w:pPr>
      <w:r>
        <w:t xml:space="preserve">                      </w:t>
      </w:r>
      <w:r w:rsidRPr="00BC0644">
        <w:t>preds</w:t>
      </w:r>
      <w:r>
        <w:t>eda</w:t>
      </w:r>
      <w:r w:rsidRPr="00BC0644">
        <w:tab/>
      </w:r>
      <w:r w:rsidRPr="00BC0644">
        <w:tab/>
      </w:r>
      <w:r>
        <w:tab/>
      </w:r>
      <w:r>
        <w:tab/>
      </w:r>
      <w:r>
        <w:tab/>
      </w:r>
      <w:r>
        <w:tab/>
        <w:t>funkcia</w:t>
      </w:r>
    </w:p>
    <w:p w:rsidR="00672C32" w:rsidRDefault="00672C32" w:rsidP="00672C32">
      <w:r>
        <w:br w:type="page"/>
      </w:r>
    </w:p>
    <w:p w:rsidR="00672C32" w:rsidRPr="00BC0644" w:rsidRDefault="00672C32" w:rsidP="00672C32">
      <w:pPr>
        <w:rPr>
          <w:b/>
        </w:rPr>
      </w:pPr>
      <w:r w:rsidRPr="00BC0644">
        <w:rPr>
          <w:b/>
        </w:rPr>
        <w:lastRenderedPageBreak/>
        <w:t>Príloha č. 1 – Opis diela</w:t>
      </w:r>
    </w:p>
    <w:p w:rsidR="00672C32" w:rsidRDefault="00672C32" w:rsidP="00672C32">
      <w:pPr>
        <w:jc w:val="both"/>
      </w:pPr>
    </w:p>
    <w:p w:rsidR="00672C32" w:rsidRPr="00F977C4" w:rsidRDefault="00672C32" w:rsidP="00672C32">
      <w:pPr>
        <w:jc w:val="both"/>
        <w:rPr>
          <w:b/>
        </w:rPr>
      </w:pPr>
      <w:r w:rsidRPr="00F977C4">
        <w:rPr>
          <w:b/>
        </w:rPr>
        <w:t xml:space="preserve">Vypracovanie bezpečnostnej dokumentácie – organizačné a technické </w:t>
      </w:r>
      <w:r>
        <w:rPr>
          <w:b/>
        </w:rPr>
        <w:t xml:space="preserve">opatrenia v zmysle nariadenia </w:t>
      </w:r>
      <w:proofErr w:type="spellStart"/>
      <w:r>
        <w:rPr>
          <w:b/>
        </w:rPr>
        <w:t>EPaR</w:t>
      </w:r>
      <w:proofErr w:type="spellEnd"/>
      <w:r>
        <w:rPr>
          <w:b/>
        </w:rPr>
        <w:t xml:space="preserve"> (EÚ) č. 216/679</w:t>
      </w:r>
      <w:r w:rsidRPr="00F977C4">
        <w:rPr>
          <w:b/>
        </w:rPr>
        <w:t xml:space="preserve"> a zákona č. 18/2018 Z. z.</w:t>
      </w:r>
    </w:p>
    <w:p w:rsidR="00672C32" w:rsidRDefault="00672C32" w:rsidP="00672C32">
      <w:pPr>
        <w:tabs>
          <w:tab w:val="left" w:pos="426"/>
        </w:tabs>
        <w:jc w:val="both"/>
        <w:rPr>
          <w:b/>
        </w:rPr>
      </w:pPr>
    </w:p>
    <w:p w:rsidR="00672C32" w:rsidRDefault="00672C32" w:rsidP="00672C32">
      <w:pPr>
        <w:tabs>
          <w:tab w:val="left" w:pos="426"/>
        </w:tabs>
        <w:jc w:val="both"/>
      </w:pPr>
      <w:r>
        <w:t>Predmetom zmluvy je v</w:t>
      </w:r>
      <w:r w:rsidRPr="003D4D8A">
        <w:t>ypracova</w:t>
      </w:r>
      <w:r>
        <w:t>nie</w:t>
      </w:r>
      <w:r w:rsidRPr="00F977C4">
        <w:t xml:space="preserve"> bezpečnostn</w:t>
      </w:r>
      <w:r>
        <w:t>ej</w:t>
      </w:r>
      <w:r w:rsidRPr="00F977C4">
        <w:t xml:space="preserve"> dokumentáci</w:t>
      </w:r>
      <w:r>
        <w:t>e a ostatnej dokumentácie</w:t>
      </w:r>
      <w:r w:rsidRPr="00F977C4">
        <w:t>, ktorá bude odrážať všetky potrebné technické a organizačné opatrenia v zmysle Nariadenia Európskeho parlamentu a Rady (EÚ)</w:t>
      </w:r>
      <w:r>
        <w:t xml:space="preserve"> č.</w:t>
      </w:r>
      <w:r w:rsidRPr="00F977C4">
        <w:t xml:space="preserve"> 2016/679 o ochrane fyzických osôb pri spracúvaní osobných údajov a o voľnom pohybe takýchto údajov, ktorým sa zrušuje smernica 95/46/ES (všeobecné nariadenie o ochrane údajov) </w:t>
      </w:r>
      <w:r>
        <w:t xml:space="preserve">(ďalej len „Nariadenie EÚ“) </w:t>
      </w:r>
      <w:r w:rsidRPr="00F977C4">
        <w:t>a na neho nadväzujúceho zákona č. 18/2018 Z. z. o ochrane osobných údajov a o zmene a doplnení niektorých zákonov</w:t>
      </w:r>
      <w:r>
        <w:t xml:space="preserve"> v znení neskorších predpisov (ďalej len „zákon č. 18/2018 Z. z.“), vrátane vykonávacích predpisov</w:t>
      </w:r>
      <w:r w:rsidRPr="00F977C4">
        <w:t xml:space="preserve"> a ktorej obsahom bude formalizovanie postupov prebiehajúcich na </w:t>
      </w:r>
      <w:r>
        <w:t>Úrade geodézie, kartografie a katastra</w:t>
      </w:r>
      <w:r w:rsidRPr="00F977C4">
        <w:t xml:space="preserve"> SR</w:t>
      </w:r>
      <w:r>
        <w:t xml:space="preserve"> (ďalej len „ÚGKK SR“)</w:t>
      </w:r>
      <w:r w:rsidRPr="00F977C4">
        <w:t xml:space="preserve"> pri spracúvaní osobných údajov</w:t>
      </w:r>
      <w:r>
        <w:t xml:space="preserve"> v informačnom systéme geodézie, kartografie a katastra a vo vnútorných informačných systémoch rezortu geodézie, kartografie a katastra (ďalej len „IS“) podľa špecifikácie uvedenej nižšie.</w:t>
      </w:r>
    </w:p>
    <w:p w:rsidR="00672C32" w:rsidRDefault="00672C32" w:rsidP="00672C32">
      <w:pPr>
        <w:tabs>
          <w:tab w:val="left" w:pos="426"/>
        </w:tabs>
        <w:jc w:val="both"/>
      </w:pPr>
      <w:r>
        <w:t xml:space="preserve">Zhotoviteľ pri vypracovaní dokumentácie zohľadní vo vzťahu k spracovávaniu, poskytovaniu a zverejňovaniu osobných údajov aj ustanovenia </w:t>
      </w:r>
    </w:p>
    <w:p w:rsidR="00672C32" w:rsidRDefault="00672C32" w:rsidP="00672C32">
      <w:pPr>
        <w:numPr>
          <w:ilvl w:val="0"/>
          <w:numId w:val="7"/>
        </w:numPr>
        <w:jc w:val="both"/>
      </w:pPr>
      <w:r>
        <w:t xml:space="preserve">zákona NR SR </w:t>
      </w:r>
      <w:r w:rsidRPr="009D486B">
        <w:t>č. 162/1995 Z. z. o katastri nehnuteľností a o zápise vlastníckych a iných práv k nehnuteľnostiam (katastrálny zákon) v znení neskorších predpisov</w:t>
      </w:r>
      <w:r>
        <w:t>,</w:t>
      </w:r>
      <w:r w:rsidRPr="009D486B">
        <w:t xml:space="preserve"> </w:t>
      </w:r>
    </w:p>
    <w:p w:rsidR="00672C32" w:rsidRDefault="00672C32" w:rsidP="00672C32">
      <w:pPr>
        <w:numPr>
          <w:ilvl w:val="0"/>
          <w:numId w:val="7"/>
        </w:numPr>
        <w:jc w:val="both"/>
      </w:pPr>
      <w:r w:rsidRPr="0039348D">
        <w:t>vyhlášk</w:t>
      </w:r>
      <w:r>
        <w:t>y</w:t>
      </w:r>
      <w:r w:rsidRPr="0039348D">
        <w:t xml:space="preserve"> ÚGKK SR č. 461/2009 Z. z. ktorou sa vykonáva zákon Národnej rady Slovenskej republiky č. 162/1995 Z. z. o katastri nehnuteľností a o zápise vlastníckych a iných práv k nehnuteľnostiam (katastrálny zákon) v znení neskorších predpisov</w:t>
      </w:r>
      <w:r>
        <w:t xml:space="preserve"> v znení neskorších predpisov</w:t>
      </w:r>
      <w:r w:rsidRPr="0039348D">
        <w:t xml:space="preserve">, </w:t>
      </w:r>
    </w:p>
    <w:p w:rsidR="00672C32" w:rsidRDefault="00672C32" w:rsidP="00672C32">
      <w:pPr>
        <w:numPr>
          <w:ilvl w:val="0"/>
          <w:numId w:val="7"/>
        </w:numPr>
        <w:jc w:val="both"/>
      </w:pPr>
      <w:r w:rsidRPr="0039348D">
        <w:t>zákon</w:t>
      </w:r>
      <w:r>
        <w:t>a</w:t>
      </w:r>
      <w:r w:rsidRPr="0039348D">
        <w:t xml:space="preserve"> </w:t>
      </w:r>
      <w:r>
        <w:t xml:space="preserve">NR SR </w:t>
      </w:r>
      <w:r w:rsidRPr="0039348D">
        <w:t xml:space="preserve">č. 215/1995 Z. z. o geodézii a kartografii v znení neskorších predpisov, </w:t>
      </w:r>
    </w:p>
    <w:p w:rsidR="00672C32" w:rsidRPr="0039348D" w:rsidRDefault="00672C32" w:rsidP="00672C32">
      <w:pPr>
        <w:numPr>
          <w:ilvl w:val="0"/>
          <w:numId w:val="7"/>
        </w:numPr>
        <w:jc w:val="both"/>
      </w:pPr>
      <w:r w:rsidRPr="0039348D">
        <w:t>vyhlášk</w:t>
      </w:r>
      <w:r>
        <w:t>y</w:t>
      </w:r>
      <w:r w:rsidRPr="0039348D">
        <w:t xml:space="preserve"> </w:t>
      </w:r>
      <w:r>
        <w:t xml:space="preserve">ÚGKK SR </w:t>
      </w:r>
      <w:r w:rsidRPr="0039348D">
        <w:t>č. 300/2009 Z. z.</w:t>
      </w:r>
      <w:r>
        <w:t>,</w:t>
      </w:r>
      <w:r w:rsidRPr="0039348D">
        <w:t xml:space="preserve"> ktorou sa vykonáva zákon Národnej rady Slovenskej republiky č. 215/1995 Z. z. o geodézii a kartografii v znení neskorších predpisov</w:t>
      </w:r>
      <w:r>
        <w:t>.</w:t>
      </w:r>
      <w:r w:rsidRPr="0039348D">
        <w:t> </w:t>
      </w:r>
    </w:p>
    <w:p w:rsidR="00672C32" w:rsidRPr="00F977C4" w:rsidRDefault="00672C32" w:rsidP="00672C32">
      <w:pPr>
        <w:jc w:val="both"/>
      </w:pPr>
    </w:p>
    <w:p w:rsidR="00672C32" w:rsidRDefault="00672C32" w:rsidP="00672C32">
      <w:pPr>
        <w:numPr>
          <w:ilvl w:val="0"/>
          <w:numId w:val="31"/>
        </w:numPr>
        <w:ind w:left="426" w:hanging="426"/>
        <w:jc w:val="both"/>
      </w:pPr>
      <w:r w:rsidRPr="00D06A1C">
        <w:t>Vykona</w:t>
      </w:r>
      <w:r>
        <w:t>nie</w:t>
      </w:r>
      <w:r w:rsidRPr="00D06A1C">
        <w:t xml:space="preserve"> posúdeni</w:t>
      </w:r>
      <w:r>
        <w:t>a</w:t>
      </w:r>
      <w:r w:rsidRPr="00D06A1C">
        <w:t xml:space="preserve"> vplyvu na ochranu osobných údajov</w:t>
      </w:r>
      <w:r>
        <w:t xml:space="preserve"> </w:t>
      </w:r>
      <w:r w:rsidRPr="00D8228D">
        <w:t>(</w:t>
      </w:r>
      <w:proofErr w:type="spellStart"/>
      <w:r w:rsidRPr="00D8228D">
        <w:t>Data</w:t>
      </w:r>
      <w:proofErr w:type="spellEnd"/>
      <w:r w:rsidRPr="00D8228D">
        <w:t xml:space="preserve"> </w:t>
      </w:r>
      <w:proofErr w:type="spellStart"/>
      <w:r w:rsidRPr="00D8228D">
        <w:t>Protection</w:t>
      </w:r>
      <w:proofErr w:type="spellEnd"/>
      <w:r w:rsidRPr="00D8228D">
        <w:t xml:space="preserve"> </w:t>
      </w:r>
      <w:proofErr w:type="spellStart"/>
      <w:r w:rsidRPr="00D8228D">
        <w:t>Impact</w:t>
      </w:r>
      <w:proofErr w:type="spellEnd"/>
      <w:r w:rsidRPr="00D8228D">
        <w:t xml:space="preserve"> </w:t>
      </w:r>
      <w:proofErr w:type="spellStart"/>
      <w:r w:rsidRPr="00D8228D">
        <w:t>Assessment</w:t>
      </w:r>
      <w:proofErr w:type="spellEnd"/>
      <w:r w:rsidRPr="00D8228D">
        <w:t xml:space="preserve"> </w:t>
      </w:r>
      <w:r>
        <w:t>– DPIA):</w:t>
      </w:r>
    </w:p>
    <w:p w:rsidR="00672C32" w:rsidRDefault="00672C32" w:rsidP="00672C32">
      <w:pPr>
        <w:tabs>
          <w:tab w:val="left" w:pos="426"/>
        </w:tabs>
        <w:jc w:val="both"/>
      </w:pPr>
      <w:r>
        <w:tab/>
        <w:t>Dokument bude obsahovať min.:</w:t>
      </w:r>
    </w:p>
    <w:p w:rsidR="00672C32" w:rsidRDefault="00672C32" w:rsidP="00672C32">
      <w:pPr>
        <w:tabs>
          <w:tab w:val="left" w:pos="426"/>
        </w:tabs>
        <w:jc w:val="both"/>
      </w:pPr>
    </w:p>
    <w:p w:rsidR="00672C32" w:rsidRDefault="00672C32" w:rsidP="00672C32">
      <w:pPr>
        <w:numPr>
          <w:ilvl w:val="0"/>
          <w:numId w:val="1"/>
        </w:numPr>
        <w:ind w:hanging="294"/>
        <w:jc w:val="both"/>
      </w:pPr>
      <w:r>
        <w:t>opis spracúvania osobných údajov,</w:t>
      </w:r>
    </w:p>
    <w:p w:rsidR="00672C32" w:rsidRDefault="00672C32" w:rsidP="00672C32">
      <w:pPr>
        <w:numPr>
          <w:ilvl w:val="0"/>
          <w:numId w:val="1"/>
        </w:numPr>
        <w:ind w:hanging="294"/>
        <w:jc w:val="both"/>
      </w:pPr>
      <w:r>
        <w:t>posúdenie nevyhnutnosti a primeranosti spracúvania osobných údajov v spojení s opatreniami na preukázanie súladu s Nariadením EÚ a zákonom č. 18/2018 Z. z.,</w:t>
      </w:r>
    </w:p>
    <w:p w:rsidR="00672C32" w:rsidRDefault="00672C32" w:rsidP="00672C32">
      <w:pPr>
        <w:numPr>
          <w:ilvl w:val="0"/>
          <w:numId w:val="1"/>
        </w:numPr>
        <w:ind w:hanging="294"/>
        <w:jc w:val="both"/>
      </w:pPr>
      <w:r>
        <w:t>posúdenie rizika pre práva fyzickej osoby v spojení s opatreniami na riešenie rizík,</w:t>
      </w:r>
    </w:p>
    <w:p w:rsidR="00672C32" w:rsidRDefault="00672C32" w:rsidP="00672C32">
      <w:pPr>
        <w:numPr>
          <w:ilvl w:val="0"/>
          <w:numId w:val="1"/>
        </w:numPr>
        <w:ind w:hanging="294"/>
        <w:jc w:val="both"/>
      </w:pPr>
      <w:r>
        <w:t>opis prijatých technických a organizačných opatrení,</w:t>
      </w:r>
    </w:p>
    <w:p w:rsidR="00672C32" w:rsidRDefault="00672C32" w:rsidP="00672C32">
      <w:pPr>
        <w:numPr>
          <w:ilvl w:val="0"/>
          <w:numId w:val="1"/>
        </w:numPr>
        <w:ind w:hanging="294"/>
        <w:jc w:val="both"/>
      </w:pPr>
      <w:r>
        <w:t>spôsob monitorovania a preskúmavania,</w:t>
      </w:r>
    </w:p>
    <w:p w:rsidR="00672C32" w:rsidRPr="00D8228D" w:rsidRDefault="00672C32" w:rsidP="00672C32">
      <w:pPr>
        <w:numPr>
          <w:ilvl w:val="0"/>
          <w:numId w:val="1"/>
        </w:numPr>
        <w:ind w:hanging="294"/>
        <w:jc w:val="both"/>
      </w:pPr>
      <w:r>
        <w:t>p</w:t>
      </w:r>
      <w:r w:rsidRPr="00D8228D">
        <w:t>lán znižovania rizík</w:t>
      </w:r>
      <w:r>
        <w:t xml:space="preserve"> obsahujúci </w:t>
      </w:r>
      <w:r w:rsidRPr="00D8228D">
        <w:t>vypracovanie plánu znižovania miery zostatkových rizík</w:t>
      </w:r>
      <w:r>
        <w:t xml:space="preserve"> a </w:t>
      </w:r>
      <w:r w:rsidRPr="00D8228D">
        <w:t>návrhy opatrení</w:t>
      </w:r>
      <w:r>
        <w:t>.</w:t>
      </w:r>
    </w:p>
    <w:p w:rsidR="00672C32" w:rsidRDefault="00672C32" w:rsidP="00672C32">
      <w:pPr>
        <w:tabs>
          <w:tab w:val="left" w:pos="426"/>
        </w:tabs>
        <w:jc w:val="both"/>
      </w:pPr>
    </w:p>
    <w:p w:rsidR="00672C32" w:rsidRDefault="00672C32" w:rsidP="00672C32">
      <w:pPr>
        <w:tabs>
          <w:tab w:val="left" w:pos="426"/>
        </w:tabs>
        <w:jc w:val="both"/>
      </w:pPr>
      <w:r>
        <w:tab/>
        <w:t>Minimálny rozsah je 10 normostrán.</w:t>
      </w:r>
    </w:p>
    <w:p w:rsidR="00672C32" w:rsidRPr="00D06A1C" w:rsidRDefault="00672C32" w:rsidP="00672C32">
      <w:pPr>
        <w:tabs>
          <w:tab w:val="left" w:pos="426"/>
        </w:tabs>
        <w:jc w:val="both"/>
      </w:pPr>
    </w:p>
    <w:p w:rsidR="00672C32" w:rsidRDefault="00672C32" w:rsidP="00672C32">
      <w:pPr>
        <w:numPr>
          <w:ilvl w:val="0"/>
          <w:numId w:val="31"/>
        </w:numPr>
        <w:ind w:left="426" w:hanging="426"/>
        <w:jc w:val="both"/>
      </w:pPr>
      <w:r w:rsidRPr="000931D9">
        <w:t>Vykona</w:t>
      </w:r>
      <w:r>
        <w:t>nie</w:t>
      </w:r>
      <w:r w:rsidRPr="000931D9">
        <w:t xml:space="preserve"> </w:t>
      </w:r>
      <w:proofErr w:type="spellStart"/>
      <w:r w:rsidRPr="000931D9">
        <w:t>balančn</w:t>
      </w:r>
      <w:r>
        <w:t>ého</w:t>
      </w:r>
      <w:proofErr w:type="spellEnd"/>
      <w:r w:rsidRPr="000931D9">
        <w:t xml:space="preserve"> test</w:t>
      </w:r>
      <w:r>
        <w:t>u</w:t>
      </w:r>
      <w:r w:rsidRPr="000931D9">
        <w:t xml:space="preserve"> (test</w:t>
      </w:r>
      <w:r>
        <w:t>u</w:t>
      </w:r>
      <w:r w:rsidRPr="000931D9">
        <w:t xml:space="preserve"> proporcionality) pre interný a externý kamerový systém</w:t>
      </w:r>
      <w:r>
        <w:t>:</w:t>
      </w:r>
    </w:p>
    <w:p w:rsidR="00672C32" w:rsidRDefault="00672C32" w:rsidP="00672C32">
      <w:pPr>
        <w:tabs>
          <w:tab w:val="left" w:pos="426"/>
        </w:tabs>
        <w:jc w:val="both"/>
      </w:pPr>
      <w:r>
        <w:tab/>
        <w:t>Dokument bude obsahovať:</w:t>
      </w:r>
    </w:p>
    <w:p w:rsidR="00672C32" w:rsidRDefault="00672C32" w:rsidP="00672C32">
      <w:pPr>
        <w:tabs>
          <w:tab w:val="left" w:pos="426"/>
        </w:tabs>
        <w:jc w:val="both"/>
      </w:pPr>
    </w:p>
    <w:p w:rsidR="00672C32" w:rsidRDefault="00672C32" w:rsidP="00672C32">
      <w:pPr>
        <w:numPr>
          <w:ilvl w:val="0"/>
          <w:numId w:val="2"/>
        </w:numPr>
        <w:ind w:hanging="294"/>
        <w:jc w:val="both"/>
      </w:pPr>
      <w:r>
        <w:t>definovanie zákonného rámca,</w:t>
      </w:r>
    </w:p>
    <w:p w:rsidR="00672C32" w:rsidRDefault="00672C32" w:rsidP="00672C32">
      <w:pPr>
        <w:numPr>
          <w:ilvl w:val="0"/>
          <w:numId w:val="2"/>
        </w:numPr>
        <w:ind w:hanging="294"/>
        <w:jc w:val="both"/>
      </w:pPr>
      <w:r>
        <w:t>posúdenie oprávneného záujmu a oprávnenosti účelu ÚGKK SR ako prevádzkovateľa,</w:t>
      </w:r>
    </w:p>
    <w:p w:rsidR="00672C32" w:rsidRDefault="00672C32" w:rsidP="00672C32">
      <w:pPr>
        <w:numPr>
          <w:ilvl w:val="0"/>
          <w:numId w:val="2"/>
        </w:numPr>
        <w:ind w:hanging="294"/>
        <w:jc w:val="both"/>
      </w:pPr>
      <w:r>
        <w:t>posúdenie primeranosti spracúvania osobných údajov,</w:t>
      </w:r>
    </w:p>
    <w:p w:rsidR="00672C32" w:rsidRDefault="00672C32" w:rsidP="00672C32">
      <w:pPr>
        <w:numPr>
          <w:ilvl w:val="0"/>
          <w:numId w:val="2"/>
        </w:numPr>
        <w:ind w:hanging="294"/>
        <w:jc w:val="both"/>
      </w:pPr>
      <w:r>
        <w:t>posúdenie dopadu na relevantné práva a slobody dotknutých osôb.</w:t>
      </w:r>
    </w:p>
    <w:p w:rsidR="00672C32" w:rsidRDefault="00672C32" w:rsidP="00672C32">
      <w:pPr>
        <w:tabs>
          <w:tab w:val="left" w:pos="426"/>
        </w:tabs>
        <w:jc w:val="both"/>
      </w:pPr>
    </w:p>
    <w:p w:rsidR="00672C32" w:rsidRDefault="00672C32" w:rsidP="00672C32">
      <w:pPr>
        <w:tabs>
          <w:tab w:val="left" w:pos="426"/>
        </w:tabs>
        <w:jc w:val="both"/>
      </w:pPr>
      <w:r>
        <w:tab/>
        <w:t>Minimálny rozsah je 5 normostrán.</w:t>
      </w:r>
    </w:p>
    <w:p w:rsidR="00672C32" w:rsidRPr="00F91A6D" w:rsidRDefault="00672C32" w:rsidP="00672C32">
      <w:pPr>
        <w:tabs>
          <w:tab w:val="left" w:pos="426"/>
        </w:tabs>
        <w:jc w:val="both"/>
      </w:pPr>
    </w:p>
    <w:p w:rsidR="00672C32" w:rsidRDefault="00672C32" w:rsidP="00672C32">
      <w:pPr>
        <w:numPr>
          <w:ilvl w:val="0"/>
          <w:numId w:val="31"/>
        </w:numPr>
        <w:ind w:left="426" w:hanging="426"/>
        <w:jc w:val="both"/>
      </w:pPr>
      <w:r w:rsidRPr="000931D9">
        <w:t>Vypracova</w:t>
      </w:r>
      <w:r>
        <w:t>nie</w:t>
      </w:r>
      <w:r w:rsidRPr="000931D9">
        <w:t xml:space="preserve"> pravid</w:t>
      </w:r>
      <w:r>
        <w:t>ie</w:t>
      </w:r>
      <w:r w:rsidRPr="000931D9">
        <w:t>l pre oprávnené osoby pre prípady, kedy dochádza (mohlo by dôjsť) k spracúvaniu osobných údajov na základe súhlasu dotknutej osoby, k spracúvaniu na iné účely ako na účely, na ktoré boli osobné údaje získané, pri spracúvaní osobitných kategórií osobných údajov a pri prenose osobných údajov do tretích krajín alebo medzinárodným organizáciám</w:t>
      </w:r>
      <w:r>
        <w:t>.</w:t>
      </w:r>
    </w:p>
    <w:p w:rsidR="00672C32" w:rsidRDefault="00672C32" w:rsidP="00672C32">
      <w:pPr>
        <w:ind w:left="426"/>
        <w:jc w:val="both"/>
      </w:pPr>
    </w:p>
    <w:p w:rsidR="00672C32" w:rsidRDefault="00672C32" w:rsidP="00672C32">
      <w:pPr>
        <w:numPr>
          <w:ilvl w:val="0"/>
          <w:numId w:val="31"/>
        </w:numPr>
        <w:ind w:left="426" w:hanging="426"/>
        <w:jc w:val="both"/>
      </w:pPr>
      <w:r w:rsidRPr="005E651C">
        <w:t>Vypracova</w:t>
      </w:r>
      <w:r>
        <w:t>nie</w:t>
      </w:r>
      <w:r w:rsidRPr="005E651C">
        <w:t xml:space="preserve"> pravid</w:t>
      </w:r>
      <w:r>
        <w:t>ie</w:t>
      </w:r>
      <w:r w:rsidRPr="005E651C">
        <w:t xml:space="preserve">l pre oprávnené osoby pre prípady, keď dochádza k získavaniu osobných údajov, uplatňovaniu práv dotknutých osôb a k plneniu </w:t>
      </w:r>
      <w:r>
        <w:t>oznamovacej povinnosti ÚGKK SR ako prevádzkovateľa</w:t>
      </w:r>
      <w:r w:rsidRPr="005E651C">
        <w:t xml:space="preserve"> v súvislosti s opravou a vymazaním osobných údajov alebo obmedzením spracúvania</w:t>
      </w:r>
      <w:r>
        <w:t xml:space="preserve"> osobných údajov</w:t>
      </w:r>
      <w:r w:rsidRPr="005E651C">
        <w:t>.</w:t>
      </w:r>
    </w:p>
    <w:p w:rsidR="00672C32" w:rsidRPr="0066674E" w:rsidRDefault="00672C32" w:rsidP="00672C32">
      <w:pPr>
        <w:ind w:left="426"/>
        <w:jc w:val="both"/>
      </w:pPr>
    </w:p>
    <w:p w:rsidR="00672C32" w:rsidRDefault="00672C32" w:rsidP="00672C32">
      <w:pPr>
        <w:numPr>
          <w:ilvl w:val="0"/>
          <w:numId w:val="31"/>
        </w:numPr>
        <w:ind w:left="426" w:hanging="426"/>
        <w:jc w:val="both"/>
      </w:pPr>
      <w:r w:rsidRPr="005E651C">
        <w:t>Vypracova</w:t>
      </w:r>
      <w:r>
        <w:t>nie</w:t>
      </w:r>
      <w:r w:rsidRPr="005E651C">
        <w:t xml:space="preserve"> bezpečnostn</w:t>
      </w:r>
      <w:r>
        <w:t>ých</w:t>
      </w:r>
      <w:r w:rsidRPr="005E651C">
        <w:t xml:space="preserve"> pravid</w:t>
      </w:r>
      <w:r>
        <w:t>ie</w:t>
      </w:r>
      <w:r w:rsidRPr="005E651C">
        <w:t>l a pokyn</w:t>
      </w:r>
      <w:r>
        <w:t>ov</w:t>
      </w:r>
      <w:r w:rsidRPr="005E651C">
        <w:t xml:space="preserve"> pre oprávnené osoby, ktoré budú obsahovať poučenia, do ktorých IS je tá ktorá konkrétna oprávnená osoba (v závislosti od pracovného, služobného alebo funkčného zaradenia v rámci ÚGKK SR) oprávnená vstupovať (pridelenie prístupových práv), aké osobné údaje je oprávnená spracúvať a aké </w:t>
      </w:r>
      <w:r>
        <w:t xml:space="preserve">spracovateľské </w:t>
      </w:r>
      <w:r w:rsidRPr="005E651C">
        <w:t>operácie je oprávnená s nimi vykonávať (pride</w:t>
      </w:r>
      <w:r>
        <w:t>lenie oprávnení na spracúvanie) vrátane zastupiteľnosti osôb:</w:t>
      </w:r>
    </w:p>
    <w:p w:rsidR="00672C32" w:rsidRDefault="00672C32" w:rsidP="00672C32">
      <w:pPr>
        <w:ind w:left="426"/>
        <w:jc w:val="both"/>
      </w:pPr>
      <w:r>
        <w:t>Dokument bude obsahovať:</w:t>
      </w:r>
    </w:p>
    <w:p w:rsidR="00672C32" w:rsidRDefault="00672C32" w:rsidP="00672C32">
      <w:pPr>
        <w:tabs>
          <w:tab w:val="left" w:pos="426"/>
        </w:tabs>
        <w:jc w:val="both"/>
      </w:pPr>
    </w:p>
    <w:p w:rsidR="00672C32" w:rsidRDefault="00672C32" w:rsidP="00672C32">
      <w:pPr>
        <w:numPr>
          <w:ilvl w:val="0"/>
          <w:numId w:val="3"/>
        </w:numPr>
        <w:ind w:hanging="294"/>
        <w:jc w:val="both"/>
      </w:pPr>
      <w:r>
        <w:t>identifikáciu poverenej osoby oprávnenej spracúvať osobné údaje,</w:t>
      </w:r>
    </w:p>
    <w:p w:rsidR="00672C32" w:rsidRDefault="00672C32" w:rsidP="00672C32">
      <w:pPr>
        <w:numPr>
          <w:ilvl w:val="0"/>
          <w:numId w:val="3"/>
        </w:numPr>
        <w:ind w:hanging="294"/>
        <w:jc w:val="both"/>
      </w:pPr>
      <w:r>
        <w:t>definovanie účelu spracúvania osobných údajov,</w:t>
      </w:r>
    </w:p>
    <w:p w:rsidR="00672C32" w:rsidRDefault="00672C32" w:rsidP="00672C32">
      <w:pPr>
        <w:numPr>
          <w:ilvl w:val="0"/>
          <w:numId w:val="3"/>
        </w:numPr>
        <w:ind w:hanging="294"/>
        <w:jc w:val="both"/>
      </w:pPr>
      <w:r>
        <w:t>vymedzenie kategórie osobných údajov a dotknutých osôb,</w:t>
      </w:r>
    </w:p>
    <w:p w:rsidR="00672C32" w:rsidRDefault="00672C32" w:rsidP="00672C32">
      <w:pPr>
        <w:numPr>
          <w:ilvl w:val="0"/>
          <w:numId w:val="3"/>
        </w:numPr>
        <w:ind w:hanging="294"/>
        <w:jc w:val="both"/>
      </w:pPr>
      <w:r>
        <w:t>určenie postupov pri spracúvaní osobných údajov,</w:t>
      </w:r>
    </w:p>
    <w:p w:rsidR="00672C32" w:rsidRDefault="00672C32" w:rsidP="00672C32">
      <w:pPr>
        <w:numPr>
          <w:ilvl w:val="0"/>
          <w:numId w:val="3"/>
        </w:numPr>
        <w:ind w:hanging="294"/>
        <w:jc w:val="both"/>
      </w:pPr>
      <w:r>
        <w:t>stanovenie sankcií za porušenie.</w:t>
      </w:r>
    </w:p>
    <w:p w:rsidR="00672C32" w:rsidRDefault="00672C32" w:rsidP="00672C32">
      <w:pPr>
        <w:tabs>
          <w:tab w:val="left" w:pos="567"/>
        </w:tabs>
        <w:jc w:val="both"/>
      </w:pPr>
    </w:p>
    <w:p w:rsidR="00672C32" w:rsidRDefault="00672C32" w:rsidP="00672C32">
      <w:pPr>
        <w:numPr>
          <w:ilvl w:val="0"/>
          <w:numId w:val="31"/>
        </w:numPr>
        <w:ind w:left="426" w:hanging="426"/>
        <w:jc w:val="both"/>
      </w:pPr>
      <w:r w:rsidRPr="005E651C">
        <w:t>Aktualiz</w:t>
      </w:r>
      <w:r>
        <w:t>ácia</w:t>
      </w:r>
      <w:r w:rsidRPr="005E651C">
        <w:t xml:space="preserve"> Záznam</w:t>
      </w:r>
      <w:r>
        <w:t>ov</w:t>
      </w:r>
      <w:r w:rsidRPr="005E651C">
        <w:t xml:space="preserve"> o pouč</w:t>
      </w:r>
      <w:r>
        <w:t>ení oprávnených osôb v podmienkach IS ÚGKK SR.</w:t>
      </w:r>
    </w:p>
    <w:p w:rsidR="00672C32" w:rsidRDefault="00672C32" w:rsidP="00672C32">
      <w:pPr>
        <w:ind w:left="426"/>
        <w:jc w:val="both"/>
      </w:pPr>
    </w:p>
    <w:p w:rsidR="00672C32" w:rsidRDefault="00672C32" w:rsidP="00672C32">
      <w:pPr>
        <w:numPr>
          <w:ilvl w:val="0"/>
          <w:numId w:val="31"/>
        </w:numPr>
        <w:ind w:left="426" w:hanging="426"/>
        <w:jc w:val="both"/>
      </w:pPr>
      <w:r w:rsidRPr="00A666E3">
        <w:t>Vypracova</w:t>
      </w:r>
      <w:r>
        <w:t>nie</w:t>
      </w:r>
      <w:r w:rsidRPr="00A666E3">
        <w:t xml:space="preserve"> bezpečnostn</w:t>
      </w:r>
      <w:r>
        <w:t>ej</w:t>
      </w:r>
      <w:r w:rsidRPr="00A666E3">
        <w:t xml:space="preserve"> smernic</w:t>
      </w:r>
      <w:r>
        <w:t>e</w:t>
      </w:r>
      <w:r w:rsidRPr="00A666E3">
        <w:t>, ktorá bude podrobne a komplexne riešiť základné pravidlá a pokyny pre bezpečné spracúvanie osobných údajov v IS oprávnenými osobami, používateľmi, a to neautomatizovanými</w:t>
      </w:r>
      <w:r>
        <w:t xml:space="preserve"> (v papierovej forme)</w:t>
      </w:r>
      <w:r w:rsidRPr="00A666E3">
        <w:t>, ako aj automatizovanými prostriedkami spracúvania, najmä pri práci s PC, notebookmi, služobnými mobilnými telefónmi, s prenosnými médiami (USB kľúče, pamäťové karty, CD), pri práci s elektronickou poštou, na internete a intranete, pri identifikácii a autentizácii a p</w:t>
      </w:r>
      <w:r>
        <w:t>ri používaní kamerového systému:</w:t>
      </w:r>
    </w:p>
    <w:p w:rsidR="00672C32" w:rsidRDefault="00672C32" w:rsidP="00672C32">
      <w:pPr>
        <w:ind w:left="426"/>
        <w:jc w:val="both"/>
      </w:pPr>
      <w:r>
        <w:t>Dokument bude obsahovať:</w:t>
      </w:r>
    </w:p>
    <w:p w:rsidR="00672C32" w:rsidRDefault="00672C32" w:rsidP="00672C32">
      <w:pPr>
        <w:numPr>
          <w:ilvl w:val="0"/>
          <w:numId w:val="4"/>
        </w:numPr>
        <w:ind w:hanging="294"/>
        <w:jc w:val="both"/>
      </w:pPr>
      <w:r>
        <w:t>špecifikáciu účelov, v zmysle ktorých sú osobné údaje spracúvané,</w:t>
      </w:r>
    </w:p>
    <w:p w:rsidR="00672C32" w:rsidRDefault="00672C32" w:rsidP="00672C32">
      <w:pPr>
        <w:numPr>
          <w:ilvl w:val="0"/>
          <w:numId w:val="4"/>
        </w:numPr>
        <w:ind w:hanging="294"/>
        <w:jc w:val="both"/>
      </w:pPr>
      <w:r>
        <w:t>stanovenie bezpečnostných zásad na ochranu osobných údajov a postupu ich uplatňovania,</w:t>
      </w:r>
    </w:p>
    <w:p w:rsidR="00672C32" w:rsidRDefault="00672C32" w:rsidP="00672C32">
      <w:pPr>
        <w:numPr>
          <w:ilvl w:val="0"/>
          <w:numId w:val="4"/>
        </w:numPr>
        <w:ind w:hanging="294"/>
        <w:jc w:val="both"/>
      </w:pPr>
      <w:r>
        <w:t>stanovenie rozsahu oprávnení a zodpovedností poverených osôb pri vykonávaní spracovateľských činností,</w:t>
      </w:r>
    </w:p>
    <w:p w:rsidR="00672C32" w:rsidRDefault="00672C32" w:rsidP="00672C32">
      <w:pPr>
        <w:numPr>
          <w:ilvl w:val="0"/>
          <w:numId w:val="4"/>
        </w:numPr>
        <w:ind w:hanging="294"/>
        <w:jc w:val="both"/>
      </w:pPr>
      <w:r>
        <w:t>stanovenie právomocí a zodpovednosti zamestnancov rezortu ÚGKK SR pri spracúvaní osobných údajov alebo pri kontakte s osobnými údajmi,</w:t>
      </w:r>
    </w:p>
    <w:p w:rsidR="00672C32" w:rsidRPr="003B5C9B" w:rsidRDefault="00672C32" w:rsidP="00672C32">
      <w:pPr>
        <w:numPr>
          <w:ilvl w:val="0"/>
          <w:numId w:val="4"/>
        </w:numPr>
        <w:ind w:hanging="294"/>
        <w:jc w:val="both"/>
      </w:pPr>
      <w:r>
        <w:t>popis právomocí, zodpovedností a participácia zodpovednej osoby pri zaisťovaní ochrany osobných údajov, preskúmavaní a riešení bezpečnostných incidentov,</w:t>
      </w:r>
    </w:p>
    <w:p w:rsidR="00672C32" w:rsidRDefault="00672C32" w:rsidP="00672C32">
      <w:pPr>
        <w:numPr>
          <w:ilvl w:val="0"/>
          <w:numId w:val="4"/>
        </w:numPr>
        <w:ind w:hanging="294"/>
        <w:jc w:val="both"/>
      </w:pPr>
      <w:r>
        <w:t>určenie postupu pri uplatnení práv dotknutých osôb.</w:t>
      </w:r>
    </w:p>
    <w:p w:rsidR="00672C32" w:rsidRDefault="00672C32" w:rsidP="00672C32">
      <w:pPr>
        <w:tabs>
          <w:tab w:val="left" w:pos="426"/>
        </w:tabs>
        <w:jc w:val="both"/>
      </w:pPr>
    </w:p>
    <w:p w:rsidR="00672C32" w:rsidRPr="00BD265E" w:rsidRDefault="00672C32" w:rsidP="00672C32">
      <w:pPr>
        <w:tabs>
          <w:tab w:val="left" w:pos="426"/>
        </w:tabs>
        <w:jc w:val="both"/>
      </w:pPr>
      <w:r>
        <w:tab/>
        <w:t>Minimálny rozsah je 35 normostrán.</w:t>
      </w:r>
    </w:p>
    <w:p w:rsidR="00672C32" w:rsidRDefault="00672C32" w:rsidP="00672C32">
      <w:pPr>
        <w:tabs>
          <w:tab w:val="left" w:pos="426"/>
        </w:tabs>
        <w:jc w:val="both"/>
      </w:pPr>
    </w:p>
    <w:p w:rsidR="00672C32" w:rsidRDefault="00672C32" w:rsidP="00672C32">
      <w:pPr>
        <w:tabs>
          <w:tab w:val="left" w:pos="426"/>
        </w:tabs>
        <w:jc w:val="both"/>
        <w:rPr>
          <w:rFonts w:eastAsia="Calibri"/>
          <w:lang w:eastAsia="en-US"/>
        </w:rPr>
      </w:pPr>
      <w:r>
        <w:rPr>
          <w:rFonts w:eastAsia="Calibri"/>
          <w:lang w:eastAsia="en-US"/>
        </w:rPr>
        <w:tab/>
        <w:t xml:space="preserve">Požadované výstupy: </w:t>
      </w:r>
      <w:r w:rsidRPr="00CA32AD">
        <w:rPr>
          <w:rFonts w:eastAsia="Calibri"/>
          <w:lang w:eastAsia="en-US"/>
        </w:rPr>
        <w:t xml:space="preserve">Smernice a dokumentačný audit </w:t>
      </w:r>
    </w:p>
    <w:p w:rsidR="00672C32" w:rsidRPr="00706208" w:rsidRDefault="00672C32" w:rsidP="00672C32">
      <w:pPr>
        <w:numPr>
          <w:ilvl w:val="0"/>
          <w:numId w:val="4"/>
        </w:numPr>
        <w:ind w:hanging="294"/>
        <w:jc w:val="both"/>
      </w:pPr>
      <w:r w:rsidRPr="00706208">
        <w:t xml:space="preserve">bezpečnostná smernica </w:t>
      </w:r>
    </w:p>
    <w:p w:rsidR="00672C32" w:rsidRPr="00706208" w:rsidRDefault="00672C32" w:rsidP="00672C32">
      <w:pPr>
        <w:numPr>
          <w:ilvl w:val="0"/>
          <w:numId w:val="4"/>
        </w:numPr>
        <w:ind w:hanging="294"/>
        <w:jc w:val="both"/>
      </w:pPr>
      <w:r w:rsidRPr="00706208">
        <w:t xml:space="preserve">smernica pre IT </w:t>
      </w:r>
    </w:p>
    <w:p w:rsidR="00672C32" w:rsidRPr="00706208" w:rsidRDefault="00672C32" w:rsidP="00672C32">
      <w:pPr>
        <w:numPr>
          <w:ilvl w:val="0"/>
          <w:numId w:val="4"/>
        </w:numPr>
        <w:ind w:hanging="294"/>
        <w:jc w:val="both"/>
      </w:pPr>
      <w:r w:rsidRPr="00706208">
        <w:t xml:space="preserve">smernica pre vybavovanie agendy práv dotknutých osôb </w:t>
      </w:r>
    </w:p>
    <w:p w:rsidR="00672C32" w:rsidRPr="00706208" w:rsidRDefault="00672C32" w:rsidP="00672C32">
      <w:pPr>
        <w:numPr>
          <w:ilvl w:val="0"/>
          <w:numId w:val="4"/>
        </w:numPr>
        <w:ind w:hanging="294"/>
        <w:jc w:val="both"/>
      </w:pPr>
      <w:r w:rsidRPr="00706208">
        <w:t xml:space="preserve">smernica na odhaľovanie a manažment bezpečnostných incidentov </w:t>
      </w:r>
    </w:p>
    <w:p w:rsidR="00672C32" w:rsidRPr="00706208" w:rsidRDefault="00672C32" w:rsidP="00672C32">
      <w:pPr>
        <w:numPr>
          <w:ilvl w:val="0"/>
          <w:numId w:val="4"/>
        </w:numPr>
        <w:ind w:hanging="294"/>
        <w:jc w:val="both"/>
      </w:pPr>
      <w:r w:rsidRPr="00706208">
        <w:t xml:space="preserve">smernica pre kamerové systémy </w:t>
      </w:r>
    </w:p>
    <w:p w:rsidR="00672C32" w:rsidRDefault="00672C32" w:rsidP="00672C32">
      <w:pPr>
        <w:tabs>
          <w:tab w:val="left" w:pos="426"/>
        </w:tabs>
        <w:jc w:val="both"/>
      </w:pPr>
    </w:p>
    <w:p w:rsidR="00672C32" w:rsidRPr="00F977C4" w:rsidRDefault="00672C32" w:rsidP="00672C32">
      <w:pPr>
        <w:numPr>
          <w:ilvl w:val="0"/>
          <w:numId w:val="31"/>
        </w:numPr>
        <w:ind w:left="426" w:hanging="426"/>
        <w:jc w:val="both"/>
      </w:pPr>
      <w:r w:rsidRPr="000931D9">
        <w:t>Vypracova</w:t>
      </w:r>
      <w:r>
        <w:t>nie</w:t>
      </w:r>
      <w:r w:rsidRPr="000931D9">
        <w:t xml:space="preserve"> dokumentáci</w:t>
      </w:r>
      <w:r>
        <w:t>e</w:t>
      </w:r>
      <w:r w:rsidRPr="000931D9">
        <w:t xml:space="preserve"> o porušeniach ochrany osobných údajov, ktorej súčasťou bude:</w:t>
      </w:r>
    </w:p>
    <w:p w:rsidR="00672C32" w:rsidRDefault="00672C32" w:rsidP="00672C32">
      <w:pPr>
        <w:numPr>
          <w:ilvl w:val="0"/>
          <w:numId w:val="32"/>
        </w:numPr>
        <w:ind w:hanging="294"/>
        <w:jc w:val="both"/>
      </w:pPr>
      <w:r w:rsidRPr="00F977C4">
        <w:t>postup pre vyhodnotenie závažnosti porušenia ochrany osobných údajov pre prípad oznámenia porušenia dozornému orgánu, resp. dotknutej osobe,</w:t>
      </w:r>
    </w:p>
    <w:p w:rsidR="00672C32" w:rsidRDefault="00672C32" w:rsidP="00672C32">
      <w:pPr>
        <w:numPr>
          <w:ilvl w:val="0"/>
          <w:numId w:val="32"/>
        </w:numPr>
        <w:ind w:hanging="294"/>
        <w:jc w:val="both"/>
      </w:pPr>
      <w:r w:rsidRPr="000931D9">
        <w:t>postup a spôsob oznámenia porušenia ochrany osobných</w:t>
      </w:r>
      <w:r>
        <w:t xml:space="preserve"> údajov dozornému orgánu a </w:t>
      </w:r>
      <w:r w:rsidRPr="000931D9">
        <w:t>dotknutej osobe,</w:t>
      </w:r>
    </w:p>
    <w:p w:rsidR="00672C32" w:rsidRDefault="00672C32" w:rsidP="00672C32">
      <w:pPr>
        <w:numPr>
          <w:ilvl w:val="0"/>
          <w:numId w:val="32"/>
        </w:numPr>
        <w:ind w:hanging="294"/>
        <w:jc w:val="both"/>
      </w:pPr>
      <w:r w:rsidRPr="000931D9">
        <w:t xml:space="preserve">zavedenie dokumentácie porušení ochrany osobných údajov, v ktorej sa bude </w:t>
      </w:r>
      <w:proofErr w:type="spellStart"/>
      <w:r w:rsidRPr="000931D9">
        <w:t>zadokumentovávať</w:t>
      </w:r>
      <w:proofErr w:type="spellEnd"/>
      <w:r w:rsidRPr="000931D9">
        <w:t xml:space="preserve"> každý prípad porušenia ochrany osobných údajov vrátane skutočností spojených s porušením ochrany osobných údajov, jeho následky a prijaté opatrenia na nápravu.</w:t>
      </w:r>
    </w:p>
    <w:p w:rsidR="00672C32" w:rsidRDefault="00672C32" w:rsidP="00672C32">
      <w:pPr>
        <w:jc w:val="both"/>
      </w:pPr>
    </w:p>
    <w:p w:rsidR="00672C32" w:rsidRPr="000931D9" w:rsidRDefault="00672C32" w:rsidP="00672C32">
      <w:pPr>
        <w:ind w:firstLine="360"/>
        <w:jc w:val="both"/>
      </w:pPr>
      <w:r>
        <w:t>Minimálny rozsah je 15 normostrán.</w:t>
      </w:r>
    </w:p>
    <w:p w:rsidR="00672C32" w:rsidRDefault="00672C32" w:rsidP="00672C32">
      <w:pPr>
        <w:tabs>
          <w:tab w:val="left" w:pos="567"/>
        </w:tabs>
        <w:jc w:val="both"/>
      </w:pPr>
    </w:p>
    <w:p w:rsidR="00672C32" w:rsidRPr="006B5240" w:rsidRDefault="00672C32" w:rsidP="00672C32">
      <w:pPr>
        <w:numPr>
          <w:ilvl w:val="0"/>
          <w:numId w:val="31"/>
        </w:numPr>
        <w:ind w:left="426" w:hanging="426"/>
        <w:jc w:val="both"/>
      </w:pPr>
      <w:r w:rsidRPr="00A510FA">
        <w:t>Vypracova</w:t>
      </w:r>
      <w:r>
        <w:t>nie</w:t>
      </w:r>
      <w:r w:rsidRPr="00A510FA">
        <w:t xml:space="preserve"> pravid</w:t>
      </w:r>
      <w:r>
        <w:t>ie</w:t>
      </w:r>
      <w:r w:rsidRPr="00A510FA">
        <w:t>l pre oprávnené osoby, ako postupovať pri riešení náhrad výdavkov za poistenie nevyhnutných liečebných nákladov zamestnanca vyslaného na zahraničnú pracovnú cestu.</w:t>
      </w:r>
    </w:p>
    <w:p w:rsidR="00672C32" w:rsidRPr="006B5240" w:rsidRDefault="00672C32" w:rsidP="00672C32">
      <w:pPr>
        <w:tabs>
          <w:tab w:val="left" w:pos="426"/>
        </w:tabs>
        <w:jc w:val="both"/>
      </w:pPr>
    </w:p>
    <w:p w:rsidR="00672C32" w:rsidRDefault="00672C32" w:rsidP="00672C32">
      <w:pPr>
        <w:tabs>
          <w:tab w:val="left" w:pos="426"/>
        </w:tabs>
        <w:jc w:val="both"/>
      </w:pPr>
      <w:r>
        <w:tab/>
        <w:t>Minimálny rozsah sú 3 normostrany.</w:t>
      </w:r>
    </w:p>
    <w:p w:rsidR="00672C32" w:rsidRPr="006B5240" w:rsidRDefault="00672C32" w:rsidP="00672C32">
      <w:pPr>
        <w:tabs>
          <w:tab w:val="left" w:pos="426"/>
        </w:tabs>
        <w:jc w:val="both"/>
      </w:pPr>
    </w:p>
    <w:p w:rsidR="00672C32" w:rsidRPr="006B5240" w:rsidRDefault="00672C32" w:rsidP="00672C32">
      <w:pPr>
        <w:numPr>
          <w:ilvl w:val="0"/>
          <w:numId w:val="31"/>
        </w:numPr>
        <w:ind w:left="426" w:hanging="426"/>
        <w:jc w:val="both"/>
      </w:pPr>
      <w:r>
        <w:t>Vykonanie posúdenia existujúcich dokumentov upravujúcich ochranu osobných údajov v podmienkach rezortu ÚGKK SR a vykonať aktualizáciu týchto dokumentov tak, aby bol zabezpečený súlad s Nariadením EÚ a zákonom č. 18/2018 Z. z., vrátane vykonávacích predpisov.</w:t>
      </w:r>
    </w:p>
    <w:p w:rsidR="00672C32" w:rsidRPr="006B5240" w:rsidRDefault="00672C32" w:rsidP="00672C32">
      <w:pPr>
        <w:ind w:left="426"/>
        <w:jc w:val="both"/>
      </w:pPr>
    </w:p>
    <w:p w:rsidR="00672C32" w:rsidRPr="006B5240" w:rsidRDefault="00672C32" w:rsidP="00672C32">
      <w:pPr>
        <w:numPr>
          <w:ilvl w:val="0"/>
          <w:numId w:val="31"/>
        </w:numPr>
        <w:ind w:left="426" w:hanging="426"/>
        <w:jc w:val="both"/>
      </w:pPr>
      <w:r>
        <w:t xml:space="preserve">Zavedenie opatrení k zabezpečeniu ochrany osobných údajov, </w:t>
      </w:r>
      <w:r w:rsidRPr="006B5240">
        <w:t xml:space="preserve">plán zavedenia </w:t>
      </w:r>
      <w:proofErr w:type="spellStart"/>
      <w:r w:rsidRPr="006B5240">
        <w:t>Privacy</w:t>
      </w:r>
      <w:proofErr w:type="spellEnd"/>
      <w:r w:rsidRPr="006B5240">
        <w:t xml:space="preserve"> by Design and by Defau</w:t>
      </w:r>
      <w:r>
        <w:t>l</w:t>
      </w:r>
      <w:r w:rsidRPr="006B5240">
        <w:t xml:space="preserve">t (PDD) </w:t>
      </w:r>
    </w:p>
    <w:p w:rsidR="00672C32" w:rsidRDefault="00672C32" w:rsidP="00672C32">
      <w:pPr>
        <w:numPr>
          <w:ilvl w:val="0"/>
          <w:numId w:val="5"/>
        </w:numPr>
        <w:jc w:val="both"/>
      </w:pPr>
      <w:r w:rsidRPr="003F4932">
        <w:t xml:space="preserve">procesy dané do súladu s </w:t>
      </w:r>
      <w:r>
        <w:t>Nariadením EÚ a zákonom č. 18/2018 Z. z., vrátane vykonávacích predpisov,</w:t>
      </w:r>
    </w:p>
    <w:p w:rsidR="00672C32" w:rsidRDefault="00672C32" w:rsidP="00672C32">
      <w:pPr>
        <w:numPr>
          <w:ilvl w:val="0"/>
          <w:numId w:val="5"/>
        </w:numPr>
        <w:jc w:val="both"/>
      </w:pPr>
      <w:r w:rsidRPr="003F4932">
        <w:t>stanovenie pravidiel na zálohovanie a likvidáciu osobných údajov</w:t>
      </w:r>
      <w:r>
        <w:t>,</w:t>
      </w:r>
      <w:r w:rsidRPr="003F4932">
        <w:t xml:space="preserve"> </w:t>
      </w:r>
    </w:p>
    <w:p w:rsidR="00672C32" w:rsidRDefault="00672C32" w:rsidP="00672C32">
      <w:pPr>
        <w:numPr>
          <w:ilvl w:val="0"/>
          <w:numId w:val="5"/>
        </w:numPr>
        <w:jc w:val="both"/>
      </w:pPr>
      <w:r w:rsidRPr="003F4932">
        <w:t xml:space="preserve">stanovenie kontrolných mechanizmov </w:t>
      </w:r>
      <w:r>
        <w:t>,</w:t>
      </w:r>
    </w:p>
    <w:p w:rsidR="00672C32" w:rsidRDefault="00672C32" w:rsidP="00672C32">
      <w:pPr>
        <w:numPr>
          <w:ilvl w:val="0"/>
          <w:numId w:val="5"/>
        </w:numPr>
        <w:jc w:val="both"/>
      </w:pPr>
      <w:r w:rsidRPr="003F4932">
        <w:t>stanovenie mechanizmov oznamovania o narušení bezpečnosti a mechanizmov na zamedzenie opakovaných narušení</w:t>
      </w:r>
      <w:r>
        <w:t>,</w:t>
      </w:r>
      <w:r w:rsidRPr="003F4932">
        <w:t xml:space="preserve"> </w:t>
      </w:r>
    </w:p>
    <w:p w:rsidR="00672C32" w:rsidRDefault="00672C32" w:rsidP="00672C32">
      <w:pPr>
        <w:numPr>
          <w:ilvl w:val="0"/>
          <w:numId w:val="5"/>
        </w:numPr>
        <w:jc w:val="both"/>
      </w:pPr>
      <w:r w:rsidRPr="003F4932">
        <w:t xml:space="preserve">stanovenie mechanizmov a procesov informovania dotknutých osôb o ich právach a o ich spracovávaných </w:t>
      </w:r>
      <w:r>
        <w:t>osobných údajov,</w:t>
      </w:r>
      <w:r w:rsidRPr="003F4932">
        <w:t xml:space="preserve"> </w:t>
      </w:r>
    </w:p>
    <w:p w:rsidR="00672C32" w:rsidRDefault="00672C32" w:rsidP="00672C32">
      <w:pPr>
        <w:numPr>
          <w:ilvl w:val="0"/>
          <w:numId w:val="5"/>
        </w:numPr>
        <w:jc w:val="both"/>
      </w:pPr>
      <w:r w:rsidRPr="003F4932">
        <w:t>zavedenie prístupu "</w:t>
      </w:r>
      <w:proofErr w:type="spellStart"/>
      <w:r w:rsidRPr="003F4932">
        <w:t>need</w:t>
      </w:r>
      <w:proofErr w:type="spellEnd"/>
      <w:r w:rsidRPr="003F4932">
        <w:t xml:space="preserve"> to </w:t>
      </w:r>
      <w:proofErr w:type="spellStart"/>
      <w:r w:rsidRPr="003F4932">
        <w:t>know</w:t>
      </w:r>
      <w:proofErr w:type="spellEnd"/>
      <w:r w:rsidRPr="003F4932">
        <w:t>", znalostné a vedomostné predpoklady</w:t>
      </w:r>
      <w:r>
        <w:t>,</w:t>
      </w:r>
      <w:r w:rsidRPr="003F4932">
        <w:t xml:space="preserve"> </w:t>
      </w:r>
    </w:p>
    <w:p w:rsidR="00672C32" w:rsidRDefault="00672C32" w:rsidP="00672C32">
      <w:pPr>
        <w:numPr>
          <w:ilvl w:val="0"/>
          <w:numId w:val="5"/>
        </w:numPr>
        <w:jc w:val="both"/>
      </w:pPr>
      <w:r w:rsidRPr="003F4932">
        <w:t xml:space="preserve">odporučenie produktov a služieb, ktoré nemá subjekt zavedené, alebo ktoré nahrádzajú produkty a služby zavedené u subjektu a nespĺňajúce požiadavky </w:t>
      </w:r>
      <w:r>
        <w:t>Nariadenia EÚ a zákonom č. 18/2018 Z. z., vrátane vykonávacích predpisov</w:t>
      </w:r>
      <w:r w:rsidRPr="003F4932">
        <w:t xml:space="preserve">: </w:t>
      </w:r>
    </w:p>
    <w:p w:rsidR="00672C32" w:rsidRDefault="00672C32" w:rsidP="00672C32">
      <w:pPr>
        <w:numPr>
          <w:ilvl w:val="3"/>
          <w:numId w:val="6"/>
        </w:numPr>
        <w:ind w:left="1134" w:hanging="425"/>
        <w:jc w:val="both"/>
      </w:pPr>
      <w:r w:rsidRPr="003F4932">
        <w:t xml:space="preserve">ochrana proti škodlivému softvéru </w:t>
      </w:r>
    </w:p>
    <w:p w:rsidR="00672C32" w:rsidRDefault="00672C32" w:rsidP="00672C32">
      <w:pPr>
        <w:numPr>
          <w:ilvl w:val="3"/>
          <w:numId w:val="6"/>
        </w:numPr>
        <w:ind w:left="1134" w:hanging="425"/>
        <w:jc w:val="both"/>
      </w:pPr>
      <w:r w:rsidRPr="003F4932">
        <w:t xml:space="preserve">zálohovanie </w:t>
      </w:r>
    </w:p>
    <w:p w:rsidR="00672C32" w:rsidRDefault="00672C32" w:rsidP="00672C32">
      <w:pPr>
        <w:numPr>
          <w:ilvl w:val="3"/>
          <w:numId w:val="6"/>
        </w:numPr>
        <w:ind w:left="1134" w:hanging="425"/>
        <w:jc w:val="both"/>
      </w:pPr>
      <w:r w:rsidRPr="003F4932">
        <w:t xml:space="preserve">monitoring </w:t>
      </w:r>
    </w:p>
    <w:p w:rsidR="00672C32" w:rsidRDefault="00672C32" w:rsidP="00672C32">
      <w:pPr>
        <w:numPr>
          <w:ilvl w:val="3"/>
          <w:numId w:val="6"/>
        </w:numPr>
        <w:ind w:left="1134" w:hanging="425"/>
        <w:jc w:val="both"/>
      </w:pPr>
      <w:r w:rsidRPr="003F4932">
        <w:t xml:space="preserve">firewall </w:t>
      </w:r>
    </w:p>
    <w:p w:rsidR="00672C32" w:rsidRDefault="00672C32" w:rsidP="00672C32">
      <w:pPr>
        <w:numPr>
          <w:ilvl w:val="3"/>
          <w:numId w:val="6"/>
        </w:numPr>
        <w:ind w:left="1134" w:hanging="425"/>
        <w:jc w:val="both"/>
      </w:pPr>
      <w:r w:rsidRPr="003F4932">
        <w:t xml:space="preserve">šifrovacie nástroje </w:t>
      </w:r>
    </w:p>
    <w:p w:rsidR="00672C32" w:rsidRDefault="00672C32" w:rsidP="00672C32">
      <w:pPr>
        <w:numPr>
          <w:ilvl w:val="0"/>
          <w:numId w:val="5"/>
        </w:numPr>
        <w:jc w:val="both"/>
      </w:pPr>
      <w:r w:rsidRPr="003F4932">
        <w:t xml:space="preserve">ostatné opatrenia, ktoré majú vplyv na bezpečnosť pri spracúvaní osobných údajov. </w:t>
      </w:r>
    </w:p>
    <w:p w:rsidR="00672C32" w:rsidRDefault="00672C32" w:rsidP="00672C32">
      <w:pPr>
        <w:jc w:val="both"/>
      </w:pPr>
    </w:p>
    <w:p w:rsidR="00672C32" w:rsidRDefault="00672C32" w:rsidP="00672C32">
      <w:pPr>
        <w:ind w:firstLine="360"/>
        <w:jc w:val="both"/>
      </w:pPr>
      <w:r w:rsidRPr="003F4932">
        <w:t xml:space="preserve">Kontrola zavedenia </w:t>
      </w:r>
      <w:r w:rsidRPr="00D8228D">
        <w:t>opatrení k zabezpečeniu ochrany osobných údajov</w:t>
      </w:r>
    </w:p>
    <w:p w:rsidR="00672C32" w:rsidRDefault="00672C32" w:rsidP="00672C32">
      <w:pPr>
        <w:numPr>
          <w:ilvl w:val="0"/>
          <w:numId w:val="5"/>
        </w:numPr>
        <w:jc w:val="both"/>
      </w:pPr>
      <w:r w:rsidRPr="003F4932">
        <w:t>kontrola plánu zavedenia PDD, plánu znižovania miery zostatkových rizík</w:t>
      </w:r>
      <w:r>
        <w:t>,</w:t>
      </w:r>
      <w:r w:rsidRPr="003F4932">
        <w:t xml:space="preserve"> </w:t>
      </w:r>
    </w:p>
    <w:p w:rsidR="00672C32" w:rsidRDefault="00672C32" w:rsidP="00672C32">
      <w:pPr>
        <w:numPr>
          <w:ilvl w:val="0"/>
          <w:numId w:val="5"/>
        </w:numPr>
        <w:jc w:val="both"/>
      </w:pPr>
      <w:r w:rsidRPr="003F4932">
        <w:t>kontrola dodržiavania smerníc</w:t>
      </w:r>
      <w:r>
        <w:t>,</w:t>
      </w:r>
      <w:r w:rsidRPr="003F4932">
        <w:t xml:space="preserve"> </w:t>
      </w:r>
    </w:p>
    <w:p w:rsidR="00672C32" w:rsidRDefault="00672C32" w:rsidP="00672C32">
      <w:pPr>
        <w:numPr>
          <w:ilvl w:val="0"/>
          <w:numId w:val="5"/>
        </w:numPr>
        <w:jc w:val="both"/>
      </w:pPr>
      <w:r w:rsidRPr="003F4932">
        <w:t>kontrola úrovne bezpečnostnej dokumentácie a jej dodržiavania v praxi</w:t>
      </w:r>
      <w:r>
        <w:t>,</w:t>
      </w:r>
      <w:r w:rsidRPr="003F4932">
        <w:t xml:space="preserve"> </w:t>
      </w:r>
    </w:p>
    <w:p w:rsidR="00672C32" w:rsidRDefault="00672C32" w:rsidP="00672C32">
      <w:pPr>
        <w:numPr>
          <w:ilvl w:val="0"/>
          <w:numId w:val="5"/>
        </w:numPr>
        <w:jc w:val="both"/>
      </w:pPr>
      <w:r w:rsidRPr="003F4932">
        <w:t>kontrola dodržiavania procesov informačnej bezpečnosti</w:t>
      </w:r>
      <w:r>
        <w:t>,</w:t>
      </w:r>
      <w:r w:rsidRPr="003F4932">
        <w:t xml:space="preserve"> </w:t>
      </w:r>
    </w:p>
    <w:p w:rsidR="00672C32" w:rsidRDefault="00672C32" w:rsidP="00672C32">
      <w:pPr>
        <w:numPr>
          <w:ilvl w:val="0"/>
          <w:numId w:val="5"/>
        </w:numPr>
        <w:jc w:val="both"/>
      </w:pPr>
      <w:r w:rsidRPr="003F4932">
        <w:t>aktualizácia plánu zavedenia PDD, plánu znižovania miery zostatkových rizík</w:t>
      </w:r>
      <w:r>
        <w:t>,</w:t>
      </w:r>
      <w:r w:rsidRPr="003F4932">
        <w:t xml:space="preserve"> </w:t>
      </w:r>
    </w:p>
    <w:p w:rsidR="00672C32" w:rsidRPr="003F4932" w:rsidRDefault="00672C32" w:rsidP="00672C32">
      <w:pPr>
        <w:numPr>
          <w:ilvl w:val="0"/>
          <w:numId w:val="5"/>
        </w:numPr>
        <w:jc w:val="both"/>
      </w:pPr>
      <w:r w:rsidRPr="003F4932">
        <w:t xml:space="preserve">posúdenie "state of </w:t>
      </w:r>
      <w:proofErr w:type="spellStart"/>
      <w:r w:rsidRPr="003F4932">
        <w:t>the</w:t>
      </w:r>
      <w:proofErr w:type="spellEnd"/>
      <w:r w:rsidRPr="003F4932">
        <w:t xml:space="preserve"> art", úroveň PDD podľa najnovších poznatkov</w:t>
      </w:r>
      <w:r>
        <w:t>.</w:t>
      </w:r>
    </w:p>
    <w:p w:rsidR="00672C32" w:rsidRDefault="00672C32" w:rsidP="00672C32">
      <w:pPr>
        <w:tabs>
          <w:tab w:val="left" w:pos="426"/>
        </w:tabs>
        <w:jc w:val="both"/>
      </w:pPr>
    </w:p>
    <w:p w:rsidR="00672C32" w:rsidRDefault="00672C32" w:rsidP="00672C32">
      <w:pPr>
        <w:numPr>
          <w:ilvl w:val="0"/>
          <w:numId w:val="31"/>
        </w:numPr>
        <w:ind w:left="426" w:hanging="426"/>
        <w:jc w:val="both"/>
      </w:pPr>
      <w:r>
        <w:lastRenderedPageBreak/>
        <w:t>Poskytovanie podpory po dobu 24 mesiacov spočívajúcej v odborných konzultáciách a pravidelnom upozorňovaní na prípadné zmeny v legislatíve Európskej únie v oblasti ochrany osobných údajov a na to nadväzujúce zmeny v legislatíve Slovenskej republiky a následnom aktualizovaní bezpečnostnej dokumentácie a ostatnej dokumentácie, tak aby bol zabezpečený súlad s Nariadením EÚ a zákonom č. 18/2018 Z. z., vrátane vykonávacích predpisov v nasledovnom rozsahu:</w:t>
      </w:r>
    </w:p>
    <w:p w:rsidR="00672C32" w:rsidRPr="00087219" w:rsidRDefault="00672C32" w:rsidP="00672C32">
      <w:pPr>
        <w:numPr>
          <w:ilvl w:val="0"/>
          <w:numId w:val="30"/>
        </w:numPr>
        <w:ind w:hanging="294"/>
        <w:jc w:val="both"/>
      </w:pPr>
      <w:r w:rsidRPr="00087219">
        <w:t xml:space="preserve">Podpora - neobmedzený počet telefonických a mailových dotazov, informovanie o legislatívnych zmenách a o stanoviskách Úradu pre ochranu osobných údajov (priemerne odhadovaný na 10 hodín za kalendárny mesiac), </w:t>
      </w:r>
    </w:p>
    <w:p w:rsidR="00672C32" w:rsidRPr="00087219" w:rsidRDefault="00672C32" w:rsidP="00672C32">
      <w:pPr>
        <w:numPr>
          <w:ilvl w:val="0"/>
          <w:numId w:val="30"/>
        </w:numPr>
        <w:ind w:hanging="294"/>
        <w:jc w:val="both"/>
      </w:pPr>
      <w:r w:rsidRPr="00087219">
        <w:t xml:space="preserve">kontrolný audit - kontrola dodržiavania bezpečnostných opatrení, kontrola plnenia plánu znižovania rizík. Kontrolný audit bude vykonaný minimálne raz za rok. Kontrolný audit sa vykoná v termíne </w:t>
      </w:r>
      <w:r w:rsidRPr="00454402">
        <w:t>a s lehotou dodania dohodnutými</w:t>
      </w:r>
      <w:r w:rsidRPr="00087219">
        <w:t xml:space="preserve"> obidvoma zmluvnými stranami.</w:t>
      </w:r>
    </w:p>
    <w:p w:rsidR="00672C32" w:rsidRPr="00454402" w:rsidRDefault="00672C32" w:rsidP="00672C32">
      <w:pPr>
        <w:numPr>
          <w:ilvl w:val="0"/>
          <w:numId w:val="30"/>
        </w:numPr>
        <w:ind w:hanging="294"/>
        <w:jc w:val="both"/>
      </w:pPr>
      <w:r w:rsidRPr="00087219">
        <w:t xml:space="preserve">revízny audit - Kontrola a revízia </w:t>
      </w:r>
      <w:proofErr w:type="spellStart"/>
      <w:r w:rsidRPr="00087219">
        <w:t>Privacy</w:t>
      </w:r>
      <w:proofErr w:type="spellEnd"/>
      <w:r w:rsidRPr="00087219">
        <w:t xml:space="preserve"> by design (PDD), aktualizácia dokumentácie k zabezpečeniu ochrany osobných údajov, revízia bezpečnostných opatrení. Revízny audit bude vykonaný minimálne raz za 24 mesiacov, resp. podľa potreby aj častejšie. Revízny audit sa vykoná v termíne </w:t>
      </w:r>
      <w:r w:rsidRPr="00454402">
        <w:t xml:space="preserve">a s lehotou dodania dohodnutými obidvoma zmluvnými stranami. </w:t>
      </w:r>
    </w:p>
    <w:p w:rsidR="00672C32" w:rsidRDefault="00672C32" w:rsidP="00672C32">
      <w:pPr>
        <w:tabs>
          <w:tab w:val="left" w:pos="567"/>
        </w:tabs>
        <w:jc w:val="both"/>
      </w:pPr>
    </w:p>
    <w:p w:rsidR="00672C32" w:rsidRPr="009D486B" w:rsidRDefault="00672C32" w:rsidP="00672C32">
      <w:pPr>
        <w:jc w:val="both"/>
        <w:rPr>
          <w:i/>
          <w:iCs/>
        </w:rPr>
      </w:pPr>
      <w:r>
        <w:rPr>
          <w:i/>
          <w:iCs/>
        </w:rPr>
        <w:t xml:space="preserve">Pozn.: Súčasťou predmetu zmluvy NIE JE vypracovanie bezpečnostného projektu pre posúdenie súladu s platnou legislatívou v oblasti informačných technológií verejnej správy vrátane zákona č. </w:t>
      </w:r>
      <w:r w:rsidRPr="009D486B">
        <w:rPr>
          <w:i/>
          <w:iCs/>
        </w:rPr>
        <w:t>69/2018 Z</w:t>
      </w:r>
      <w:r>
        <w:rPr>
          <w:i/>
          <w:iCs/>
        </w:rPr>
        <w:t xml:space="preserve"> </w:t>
      </w:r>
      <w:r w:rsidRPr="009D486B">
        <w:rPr>
          <w:i/>
          <w:iCs/>
        </w:rPr>
        <w:t>.z. o kybernetickej bezpečnosti</w:t>
      </w:r>
      <w:r>
        <w:rPr>
          <w:i/>
          <w:iCs/>
        </w:rPr>
        <w:t xml:space="preserve"> (bezpečnostný projekt informačného systému) a súvisiacej dokumentácie. </w:t>
      </w:r>
    </w:p>
    <w:p w:rsidR="00672C32" w:rsidRDefault="00672C32" w:rsidP="00672C32">
      <w:r>
        <w:br w:type="page"/>
      </w:r>
    </w:p>
    <w:p w:rsidR="00672C32" w:rsidRPr="00BC0644" w:rsidRDefault="00672C32" w:rsidP="00672C32">
      <w:pPr>
        <w:spacing w:line="276" w:lineRule="auto"/>
        <w:rPr>
          <w:b/>
        </w:rPr>
      </w:pPr>
      <w:r w:rsidRPr="00BC0644">
        <w:rPr>
          <w:b/>
        </w:rPr>
        <w:lastRenderedPageBreak/>
        <w:t>Príloha č. 2 – Vzor preberacieho protokolu</w:t>
      </w:r>
    </w:p>
    <w:p w:rsidR="00672C32" w:rsidRPr="00BC0644" w:rsidRDefault="00672C32" w:rsidP="00672C32">
      <w:pPr>
        <w:spacing w:line="276" w:lineRule="auto"/>
        <w:rPr>
          <w:b/>
        </w:rPr>
      </w:pPr>
    </w:p>
    <w:p w:rsidR="00672C32" w:rsidRPr="00BC0644" w:rsidRDefault="00672C32" w:rsidP="00672C32">
      <w:pPr>
        <w:pStyle w:val="Header"/>
        <w:spacing w:before="60" w:line="276" w:lineRule="auto"/>
        <w:contextualSpacing/>
        <w:jc w:val="center"/>
        <w:rPr>
          <w:b/>
        </w:rPr>
      </w:pPr>
      <w:r w:rsidRPr="00BC0644">
        <w:rPr>
          <w:b/>
        </w:rPr>
        <w:t>Preberací protokol</w:t>
      </w:r>
    </w:p>
    <w:p w:rsidR="00672C32" w:rsidRPr="00BC0644" w:rsidRDefault="00672C32" w:rsidP="00672C32">
      <w:pPr>
        <w:pStyle w:val="Header"/>
        <w:spacing w:before="60" w:line="276" w:lineRule="auto"/>
        <w:contextual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gridCol w:w="1134"/>
        <w:gridCol w:w="1417"/>
      </w:tblGrid>
      <w:tr w:rsidR="00672C32" w:rsidRPr="00BC0644" w:rsidTr="00126CC6">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rsidR="00672C32" w:rsidRPr="00BC0644" w:rsidRDefault="00672C32" w:rsidP="00126CC6">
            <w:pPr>
              <w:spacing w:before="60" w:line="276" w:lineRule="auto"/>
              <w:contextualSpacing/>
              <w:rPr>
                <w:b/>
              </w:rPr>
            </w:pPr>
            <w:r w:rsidRPr="00BC0644">
              <w:rPr>
                <w:b/>
              </w:rPr>
              <w:t xml:space="preserve">Objednávateľ: </w:t>
            </w:r>
            <w:r>
              <w:rPr>
                <w:b/>
              </w:rPr>
              <w:t>Zhotoviteľ</w:t>
            </w:r>
            <w:r w:rsidRPr="00BC0644">
              <w:rPr>
                <w:b/>
              </w:rPr>
              <w:t>:</w:t>
            </w:r>
          </w:p>
        </w:tc>
        <w:tc>
          <w:tcPr>
            <w:tcW w:w="6945" w:type="dxa"/>
            <w:gridSpan w:val="3"/>
            <w:tcBorders>
              <w:top w:val="double" w:sz="4" w:space="0" w:color="auto"/>
              <w:left w:val="single" w:sz="4" w:space="0" w:color="auto"/>
              <w:bottom w:val="single" w:sz="4" w:space="0" w:color="auto"/>
              <w:right w:val="double" w:sz="4" w:space="0" w:color="auto"/>
            </w:tcBorders>
          </w:tcPr>
          <w:p w:rsidR="00672C32" w:rsidRPr="00BC0644" w:rsidRDefault="00672C32" w:rsidP="00126CC6">
            <w:pPr>
              <w:spacing w:before="60" w:line="276" w:lineRule="auto"/>
              <w:contextualSpacing/>
            </w:pPr>
            <w:r w:rsidRPr="00BC0644">
              <w:t xml:space="preserve"> Úrad geodézie, kartografie a katastra Slovenskej republiky</w:t>
            </w:r>
          </w:p>
        </w:tc>
      </w:tr>
      <w:tr w:rsidR="00672C32" w:rsidRPr="00BC0644" w:rsidTr="00126CC6">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rsidR="00672C32" w:rsidRPr="00BC0644" w:rsidRDefault="00672C32" w:rsidP="00126CC6">
            <w:pPr>
              <w:spacing w:before="60" w:line="276" w:lineRule="auto"/>
              <w:contextualSpacing/>
              <w:rPr>
                <w:b/>
              </w:rPr>
            </w:pPr>
            <w:r w:rsidRPr="00BC0644">
              <w:rPr>
                <w:b/>
              </w:rPr>
              <w:t>Zmluva č.:</w:t>
            </w:r>
          </w:p>
        </w:tc>
        <w:tc>
          <w:tcPr>
            <w:tcW w:w="6945" w:type="dxa"/>
            <w:gridSpan w:val="3"/>
            <w:tcBorders>
              <w:top w:val="double" w:sz="4" w:space="0" w:color="auto"/>
              <w:left w:val="single" w:sz="4" w:space="0" w:color="auto"/>
              <w:bottom w:val="single" w:sz="4" w:space="0" w:color="auto"/>
              <w:right w:val="double" w:sz="4" w:space="0" w:color="auto"/>
            </w:tcBorders>
          </w:tcPr>
          <w:p w:rsidR="00672C32" w:rsidRPr="00BC0644" w:rsidRDefault="00672C32" w:rsidP="00126CC6">
            <w:pPr>
              <w:spacing w:before="60" w:line="276" w:lineRule="auto"/>
              <w:contextualSpacing/>
            </w:pPr>
          </w:p>
        </w:tc>
      </w:tr>
      <w:tr w:rsidR="00672C32" w:rsidRPr="00BC0644" w:rsidTr="00126CC6">
        <w:trPr>
          <w:cantSplit/>
          <w:trHeight w:val="1900"/>
        </w:trPr>
        <w:tc>
          <w:tcPr>
            <w:tcW w:w="2802" w:type="dxa"/>
            <w:tcBorders>
              <w:top w:val="single" w:sz="4" w:space="0" w:color="auto"/>
              <w:left w:val="double" w:sz="4" w:space="0" w:color="auto"/>
              <w:bottom w:val="single" w:sz="4" w:space="0" w:color="auto"/>
              <w:right w:val="single" w:sz="4" w:space="0" w:color="auto"/>
            </w:tcBorders>
            <w:shd w:val="pct5" w:color="auto" w:fill="FFFFFF"/>
          </w:tcPr>
          <w:p w:rsidR="00672C32" w:rsidRPr="00BC0644" w:rsidRDefault="00672C32" w:rsidP="00126CC6">
            <w:pPr>
              <w:spacing w:before="60" w:line="276" w:lineRule="auto"/>
              <w:contextualSpacing/>
              <w:rPr>
                <w:b/>
              </w:rPr>
            </w:pPr>
            <w:r w:rsidRPr="00BC0644">
              <w:rPr>
                <w:b/>
              </w:rPr>
              <w:t xml:space="preserve">Predmet prevzatia: </w:t>
            </w:r>
          </w:p>
        </w:tc>
        <w:tc>
          <w:tcPr>
            <w:tcW w:w="6945" w:type="dxa"/>
            <w:gridSpan w:val="3"/>
            <w:tcBorders>
              <w:top w:val="single" w:sz="4" w:space="0" w:color="auto"/>
              <w:left w:val="single" w:sz="4" w:space="0" w:color="auto"/>
              <w:bottom w:val="single" w:sz="4" w:space="0" w:color="auto"/>
              <w:right w:val="double" w:sz="4" w:space="0" w:color="auto"/>
            </w:tcBorders>
          </w:tcPr>
          <w:p w:rsidR="00672C32" w:rsidRPr="00BC0644" w:rsidRDefault="00672C32" w:rsidP="00126CC6">
            <w:pPr>
              <w:tabs>
                <w:tab w:val="left" w:pos="1060"/>
              </w:tabs>
              <w:spacing w:before="60" w:line="276" w:lineRule="auto"/>
              <w:contextualSpacing/>
            </w:pPr>
          </w:p>
        </w:tc>
      </w:tr>
      <w:tr w:rsidR="00672C32" w:rsidRPr="00BC0644" w:rsidTr="00126CC6">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rsidR="00672C32" w:rsidRPr="00BC0644" w:rsidRDefault="00672C32" w:rsidP="00126CC6">
            <w:pPr>
              <w:spacing w:before="60" w:line="276" w:lineRule="auto"/>
              <w:contextualSpacing/>
              <w:rPr>
                <w:b/>
              </w:rPr>
            </w:pPr>
            <w:r w:rsidRPr="00BC0644">
              <w:rPr>
                <w:b/>
              </w:rPr>
              <w:t>Sprievodná</w:t>
            </w:r>
          </w:p>
          <w:p w:rsidR="00672C32" w:rsidRPr="00BC0644" w:rsidRDefault="00672C32" w:rsidP="00126CC6">
            <w:pPr>
              <w:spacing w:before="60" w:line="276" w:lineRule="auto"/>
              <w:contextualSpacing/>
              <w:rPr>
                <w:b/>
              </w:rPr>
            </w:pPr>
            <w:r w:rsidRPr="00BC0644">
              <w:rPr>
                <w:b/>
              </w:rPr>
              <w:t>dokumentácia:</w:t>
            </w:r>
          </w:p>
        </w:tc>
        <w:tc>
          <w:tcPr>
            <w:tcW w:w="6945" w:type="dxa"/>
            <w:gridSpan w:val="3"/>
            <w:tcBorders>
              <w:top w:val="single" w:sz="4" w:space="0" w:color="auto"/>
              <w:left w:val="single" w:sz="4" w:space="0" w:color="auto"/>
              <w:bottom w:val="single" w:sz="4" w:space="0" w:color="auto"/>
              <w:right w:val="double" w:sz="4" w:space="0" w:color="auto"/>
            </w:tcBorders>
          </w:tcPr>
          <w:p w:rsidR="00672C32" w:rsidRPr="00BC0644" w:rsidRDefault="00672C32" w:rsidP="00126CC6">
            <w:pPr>
              <w:tabs>
                <w:tab w:val="left" w:pos="1060"/>
              </w:tabs>
              <w:spacing w:before="60" w:line="276" w:lineRule="auto"/>
              <w:contextualSpacing/>
            </w:pPr>
          </w:p>
          <w:p w:rsidR="00672C32" w:rsidRPr="00BC0644" w:rsidRDefault="00672C32" w:rsidP="00126CC6">
            <w:pPr>
              <w:tabs>
                <w:tab w:val="left" w:pos="1060"/>
              </w:tabs>
              <w:spacing w:before="60" w:line="276" w:lineRule="auto"/>
              <w:contextualSpacing/>
            </w:pPr>
          </w:p>
        </w:tc>
      </w:tr>
      <w:tr w:rsidR="00672C32" w:rsidRPr="00BC0644" w:rsidTr="00126CC6">
        <w:trPr>
          <w:cantSplit/>
        </w:trPr>
        <w:tc>
          <w:tcPr>
            <w:tcW w:w="2802" w:type="dxa"/>
            <w:tcBorders>
              <w:top w:val="single" w:sz="4" w:space="0" w:color="auto"/>
              <w:left w:val="double" w:sz="4" w:space="0" w:color="auto"/>
              <w:bottom w:val="single" w:sz="4" w:space="0" w:color="auto"/>
            </w:tcBorders>
            <w:shd w:val="pct5" w:color="auto" w:fill="FFFFFF"/>
          </w:tcPr>
          <w:p w:rsidR="00672C32" w:rsidRPr="00BC0644" w:rsidRDefault="00672C32" w:rsidP="00126CC6">
            <w:pPr>
              <w:spacing w:before="60" w:line="276" w:lineRule="auto"/>
              <w:contextualSpacing/>
              <w:rPr>
                <w:b/>
              </w:rPr>
            </w:pPr>
            <w:r w:rsidRPr="00BC0644">
              <w:rPr>
                <w:b/>
              </w:rPr>
              <w:t>Miesto prevzatia:</w:t>
            </w:r>
          </w:p>
        </w:tc>
        <w:tc>
          <w:tcPr>
            <w:tcW w:w="4394" w:type="dxa"/>
            <w:tcBorders>
              <w:top w:val="single" w:sz="4" w:space="0" w:color="auto"/>
              <w:bottom w:val="nil"/>
            </w:tcBorders>
            <w:vAlign w:val="center"/>
          </w:tcPr>
          <w:p w:rsidR="00672C32" w:rsidRPr="00BC0644" w:rsidRDefault="00672C32" w:rsidP="00126CC6">
            <w:pPr>
              <w:spacing w:before="60" w:line="276" w:lineRule="auto"/>
              <w:contextualSpacing/>
            </w:pPr>
          </w:p>
          <w:p w:rsidR="00672C32" w:rsidRPr="00BC0644" w:rsidRDefault="00672C32" w:rsidP="00126CC6">
            <w:pPr>
              <w:spacing w:before="60" w:line="276" w:lineRule="auto"/>
              <w:contextualSpacing/>
            </w:pPr>
          </w:p>
        </w:tc>
        <w:tc>
          <w:tcPr>
            <w:tcW w:w="1134" w:type="dxa"/>
            <w:tcBorders>
              <w:top w:val="single" w:sz="4" w:space="0" w:color="auto"/>
              <w:bottom w:val="nil"/>
            </w:tcBorders>
            <w:shd w:val="clear" w:color="auto" w:fill="F3F3F3"/>
          </w:tcPr>
          <w:p w:rsidR="00672C32" w:rsidRPr="00BC0644" w:rsidRDefault="00672C32" w:rsidP="00126CC6">
            <w:pPr>
              <w:spacing w:before="60" w:line="276" w:lineRule="auto"/>
              <w:contextualSpacing/>
              <w:rPr>
                <w:b/>
              </w:rPr>
            </w:pPr>
            <w:r w:rsidRPr="00BC0644">
              <w:rPr>
                <w:b/>
              </w:rPr>
              <w:t>Dátum:</w:t>
            </w:r>
          </w:p>
        </w:tc>
        <w:tc>
          <w:tcPr>
            <w:tcW w:w="1417" w:type="dxa"/>
            <w:tcBorders>
              <w:top w:val="single" w:sz="4" w:space="0" w:color="auto"/>
              <w:bottom w:val="nil"/>
              <w:right w:val="double" w:sz="4" w:space="0" w:color="auto"/>
            </w:tcBorders>
            <w:vAlign w:val="center"/>
          </w:tcPr>
          <w:p w:rsidR="00672C32" w:rsidRPr="00BC0644" w:rsidRDefault="00672C32" w:rsidP="00126CC6">
            <w:pPr>
              <w:spacing w:before="60" w:line="276" w:lineRule="auto"/>
              <w:contextualSpacing/>
            </w:pPr>
          </w:p>
        </w:tc>
      </w:tr>
      <w:tr w:rsidR="00672C32" w:rsidRPr="00BC0644" w:rsidTr="00126CC6">
        <w:trPr>
          <w:cantSplit/>
        </w:trPr>
        <w:tc>
          <w:tcPr>
            <w:tcW w:w="2802" w:type="dxa"/>
            <w:tcBorders>
              <w:top w:val="single" w:sz="4" w:space="0" w:color="auto"/>
              <w:left w:val="double" w:sz="4" w:space="0" w:color="auto"/>
              <w:bottom w:val="single" w:sz="4" w:space="0" w:color="auto"/>
            </w:tcBorders>
            <w:shd w:val="pct5" w:color="auto" w:fill="FFFFFF"/>
          </w:tcPr>
          <w:p w:rsidR="00672C32" w:rsidRPr="00BC0644" w:rsidRDefault="00672C32" w:rsidP="00126CC6">
            <w:pPr>
              <w:spacing w:before="60" w:line="276" w:lineRule="auto"/>
              <w:contextualSpacing/>
              <w:rPr>
                <w:b/>
              </w:rPr>
            </w:pPr>
            <w:r w:rsidRPr="00BC0644">
              <w:rPr>
                <w:b/>
              </w:rPr>
              <w:t>Osoby oprávnené na prevzatie:</w:t>
            </w:r>
          </w:p>
        </w:tc>
        <w:tc>
          <w:tcPr>
            <w:tcW w:w="6945" w:type="dxa"/>
            <w:gridSpan w:val="3"/>
            <w:tcBorders>
              <w:top w:val="single" w:sz="4" w:space="0" w:color="auto"/>
              <w:bottom w:val="nil"/>
              <w:right w:val="double" w:sz="4" w:space="0" w:color="auto"/>
            </w:tcBorders>
            <w:vAlign w:val="center"/>
          </w:tcPr>
          <w:p w:rsidR="00672C32" w:rsidRPr="00BC0644" w:rsidRDefault="00672C32" w:rsidP="00126CC6">
            <w:pPr>
              <w:spacing w:before="60" w:line="276" w:lineRule="auto"/>
              <w:contextualSpacing/>
            </w:pPr>
            <w:r w:rsidRPr="00BC0644">
              <w:t>Za Objednávateľa:</w:t>
            </w:r>
          </w:p>
          <w:p w:rsidR="00672C32" w:rsidRPr="00BC0644" w:rsidRDefault="00672C32" w:rsidP="00126CC6">
            <w:pPr>
              <w:spacing w:before="60" w:line="276" w:lineRule="auto"/>
              <w:contextualSpacing/>
            </w:pPr>
          </w:p>
          <w:p w:rsidR="00672C32" w:rsidRPr="00BC0644" w:rsidRDefault="00672C32" w:rsidP="00126CC6">
            <w:pPr>
              <w:spacing w:before="60" w:line="276" w:lineRule="auto"/>
              <w:contextualSpacing/>
            </w:pPr>
            <w:r w:rsidRPr="00BC0644">
              <w:t xml:space="preserve">Za </w:t>
            </w:r>
            <w:r>
              <w:t>Zhotoviteľa</w:t>
            </w:r>
            <w:r w:rsidRPr="00BC0644">
              <w:t>:</w:t>
            </w:r>
          </w:p>
          <w:p w:rsidR="00672C32" w:rsidRPr="00BC0644" w:rsidRDefault="00672C32" w:rsidP="00126CC6">
            <w:pPr>
              <w:spacing w:before="60" w:line="276" w:lineRule="auto"/>
              <w:contextualSpacing/>
            </w:pPr>
          </w:p>
        </w:tc>
      </w:tr>
      <w:tr w:rsidR="00672C32" w:rsidRPr="00BC0644" w:rsidTr="00126CC6">
        <w:trPr>
          <w:cantSplit/>
        </w:trPr>
        <w:tc>
          <w:tcPr>
            <w:tcW w:w="2802" w:type="dxa"/>
            <w:tcBorders>
              <w:top w:val="single" w:sz="4" w:space="0" w:color="auto"/>
              <w:left w:val="double" w:sz="4" w:space="0" w:color="auto"/>
              <w:bottom w:val="double" w:sz="4" w:space="0" w:color="auto"/>
            </w:tcBorders>
            <w:shd w:val="pct5" w:color="auto" w:fill="FFFFFF"/>
          </w:tcPr>
          <w:p w:rsidR="00672C32" w:rsidRPr="00BC0644" w:rsidRDefault="00672C32" w:rsidP="00126CC6">
            <w:pPr>
              <w:spacing w:before="60" w:line="276" w:lineRule="auto"/>
              <w:contextualSpacing/>
              <w:rPr>
                <w:b/>
              </w:rPr>
            </w:pPr>
            <w:r w:rsidRPr="00BC0644">
              <w:rPr>
                <w:b/>
              </w:rPr>
              <w:t>Odovzdaná dokumentácia:</w:t>
            </w:r>
          </w:p>
        </w:tc>
        <w:tc>
          <w:tcPr>
            <w:tcW w:w="6945" w:type="dxa"/>
            <w:gridSpan w:val="3"/>
            <w:tcBorders>
              <w:top w:val="single" w:sz="4" w:space="0" w:color="auto"/>
              <w:bottom w:val="double" w:sz="4" w:space="0" w:color="auto"/>
              <w:right w:val="double" w:sz="4" w:space="0" w:color="auto"/>
            </w:tcBorders>
            <w:vAlign w:val="center"/>
          </w:tcPr>
          <w:p w:rsidR="00672C32" w:rsidRPr="00BC0644" w:rsidRDefault="00672C32" w:rsidP="00126CC6">
            <w:pPr>
              <w:spacing w:before="60" w:line="276" w:lineRule="auto"/>
              <w:contextualSpacing/>
            </w:pPr>
          </w:p>
          <w:p w:rsidR="00672C32" w:rsidRPr="00BC0644" w:rsidRDefault="00672C32" w:rsidP="00126CC6">
            <w:pPr>
              <w:spacing w:before="60" w:line="276" w:lineRule="auto"/>
              <w:contextualSpacing/>
            </w:pPr>
          </w:p>
          <w:p w:rsidR="00672C32" w:rsidRPr="00BC0644" w:rsidRDefault="00672C32" w:rsidP="00126CC6">
            <w:pPr>
              <w:spacing w:before="60" w:line="276" w:lineRule="auto"/>
              <w:contextualSpacing/>
            </w:pPr>
          </w:p>
        </w:tc>
      </w:tr>
    </w:tbl>
    <w:p w:rsidR="00672C32" w:rsidRPr="00BC0644" w:rsidRDefault="00672C32" w:rsidP="00672C32">
      <w:pPr>
        <w:pStyle w:val="Heade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gridCol w:w="1559"/>
      </w:tblGrid>
      <w:tr w:rsidR="00672C32" w:rsidRPr="00BC0644" w:rsidTr="00126CC6">
        <w:trPr>
          <w:cantSplit/>
          <w:trHeight w:val="210"/>
        </w:trPr>
        <w:tc>
          <w:tcPr>
            <w:tcW w:w="9747" w:type="dxa"/>
            <w:gridSpan w:val="6"/>
            <w:tcBorders>
              <w:top w:val="double" w:sz="4" w:space="0" w:color="auto"/>
              <w:left w:val="double" w:sz="4" w:space="0" w:color="auto"/>
              <w:bottom w:val="single" w:sz="4" w:space="0" w:color="auto"/>
              <w:right w:val="double" w:sz="4" w:space="0" w:color="auto"/>
            </w:tcBorders>
            <w:shd w:val="pct5" w:color="auto" w:fill="FFFFFF"/>
            <w:vAlign w:val="center"/>
          </w:tcPr>
          <w:p w:rsidR="00672C32" w:rsidRPr="00BC0644" w:rsidRDefault="00672C32" w:rsidP="00126CC6">
            <w:pPr>
              <w:pStyle w:val="Header"/>
              <w:tabs>
                <w:tab w:val="left" w:pos="461"/>
              </w:tabs>
              <w:spacing w:before="60" w:line="276" w:lineRule="auto"/>
              <w:contextualSpacing/>
              <w:rPr>
                <w:rFonts w:eastAsia="Calibri"/>
              </w:rPr>
            </w:pPr>
            <w:r w:rsidRPr="00BC0644">
              <w:rPr>
                <w:rFonts w:eastAsia="Calibri"/>
                <w:b/>
              </w:rPr>
              <w:t>Potvrdenie o prevzatí:</w:t>
            </w:r>
          </w:p>
        </w:tc>
      </w:tr>
      <w:tr w:rsidR="00672C32" w:rsidRPr="00BC0644" w:rsidTr="00126CC6">
        <w:trPr>
          <w:cantSplit/>
          <w:trHeight w:val="690"/>
        </w:trPr>
        <w:tc>
          <w:tcPr>
            <w:tcW w:w="9747" w:type="dxa"/>
            <w:gridSpan w:val="6"/>
            <w:tcBorders>
              <w:top w:val="single" w:sz="4" w:space="0" w:color="auto"/>
              <w:left w:val="double" w:sz="4" w:space="0" w:color="auto"/>
              <w:bottom w:val="nil"/>
              <w:right w:val="double" w:sz="4" w:space="0" w:color="auto"/>
            </w:tcBorders>
          </w:tcPr>
          <w:p w:rsidR="00672C32" w:rsidRPr="00BC0644" w:rsidRDefault="00672C32" w:rsidP="00126CC6">
            <w:pPr>
              <w:pStyle w:val="Header"/>
              <w:tabs>
                <w:tab w:val="left" w:pos="461"/>
              </w:tabs>
              <w:spacing w:line="276" w:lineRule="auto"/>
              <w:contextualSpacing/>
              <w:rPr>
                <w:rFonts w:eastAsia="Calibri"/>
              </w:rPr>
            </w:pPr>
          </w:p>
        </w:tc>
      </w:tr>
      <w:tr w:rsidR="00672C32" w:rsidRPr="00BC0644" w:rsidTr="00126CC6">
        <w:trPr>
          <w:cantSplit/>
        </w:trPr>
        <w:tc>
          <w:tcPr>
            <w:tcW w:w="5070" w:type="dxa"/>
            <w:gridSpan w:val="3"/>
            <w:tcBorders>
              <w:top w:val="single" w:sz="4" w:space="0" w:color="auto"/>
              <w:left w:val="double" w:sz="4" w:space="0" w:color="auto"/>
              <w:right w:val="single" w:sz="4" w:space="0" w:color="auto"/>
            </w:tcBorders>
            <w:shd w:val="pct5" w:color="auto" w:fill="FFFFFF"/>
          </w:tcPr>
          <w:p w:rsidR="00672C32" w:rsidRPr="00BC0644" w:rsidRDefault="00672C32" w:rsidP="00126CC6">
            <w:pPr>
              <w:pStyle w:val="Header"/>
              <w:tabs>
                <w:tab w:val="left" w:pos="461"/>
                <w:tab w:val="left" w:pos="4962"/>
                <w:tab w:val="left" w:pos="5387"/>
              </w:tabs>
              <w:spacing w:line="276" w:lineRule="auto"/>
              <w:contextualSpacing/>
              <w:rPr>
                <w:rFonts w:eastAsia="Calibri"/>
                <w:b/>
              </w:rPr>
            </w:pPr>
            <w:r w:rsidRPr="00BC0644">
              <w:rPr>
                <w:b/>
              </w:rPr>
              <w:t>Za Objednávateľa:</w:t>
            </w:r>
          </w:p>
        </w:tc>
        <w:tc>
          <w:tcPr>
            <w:tcW w:w="4677" w:type="dxa"/>
            <w:gridSpan w:val="3"/>
            <w:tcBorders>
              <w:top w:val="single" w:sz="4" w:space="0" w:color="auto"/>
              <w:left w:val="nil"/>
              <w:right w:val="double" w:sz="4" w:space="0" w:color="auto"/>
            </w:tcBorders>
            <w:shd w:val="pct5" w:color="auto" w:fill="FFFFFF"/>
          </w:tcPr>
          <w:p w:rsidR="00672C32" w:rsidRPr="00BC0644" w:rsidRDefault="00672C32" w:rsidP="00126CC6">
            <w:pPr>
              <w:pStyle w:val="Header"/>
              <w:tabs>
                <w:tab w:val="left" w:pos="461"/>
                <w:tab w:val="left" w:pos="4962"/>
                <w:tab w:val="left" w:pos="5387"/>
              </w:tabs>
              <w:spacing w:line="276" w:lineRule="auto"/>
              <w:contextualSpacing/>
              <w:rPr>
                <w:rFonts w:eastAsia="Calibri"/>
                <w:b/>
              </w:rPr>
            </w:pPr>
            <w:r w:rsidRPr="00BC0644">
              <w:rPr>
                <w:rFonts w:eastAsia="Calibri"/>
                <w:b/>
              </w:rPr>
              <w:t xml:space="preserve">Za </w:t>
            </w:r>
            <w:r>
              <w:rPr>
                <w:rFonts w:eastAsia="Calibri"/>
                <w:b/>
              </w:rPr>
              <w:t>Zhotoviteľa</w:t>
            </w:r>
            <w:r w:rsidRPr="00BC0644">
              <w:rPr>
                <w:rFonts w:eastAsia="Calibri"/>
                <w:b/>
              </w:rPr>
              <w:t>:</w:t>
            </w:r>
          </w:p>
        </w:tc>
      </w:tr>
      <w:tr w:rsidR="00672C32" w:rsidRPr="00BC0644" w:rsidTr="00126CC6">
        <w:trPr>
          <w:cantSplit/>
          <w:trHeight w:val="225"/>
        </w:trPr>
        <w:tc>
          <w:tcPr>
            <w:tcW w:w="1668" w:type="dxa"/>
            <w:tcBorders>
              <w:top w:val="single" w:sz="4" w:space="0" w:color="auto"/>
              <w:left w:val="double" w:sz="4" w:space="0" w:color="auto"/>
              <w:bottom w:val="single" w:sz="4" w:space="0" w:color="auto"/>
              <w:right w:val="single" w:sz="4" w:space="0" w:color="auto"/>
            </w:tcBorders>
            <w:shd w:val="pct5" w:color="auto" w:fill="FFFFFF"/>
          </w:tcPr>
          <w:p w:rsidR="00672C32" w:rsidRPr="00BC0644" w:rsidRDefault="00672C32" w:rsidP="00126CC6">
            <w:pPr>
              <w:spacing w:line="276" w:lineRule="auto"/>
              <w:contextualSpacing/>
              <w:jc w:val="center"/>
            </w:pPr>
            <w:r w:rsidRPr="00BC0644">
              <w:t>Meno</w:t>
            </w:r>
          </w:p>
        </w:tc>
        <w:tc>
          <w:tcPr>
            <w:tcW w:w="1701" w:type="dxa"/>
            <w:tcBorders>
              <w:top w:val="single" w:sz="4" w:space="0" w:color="auto"/>
              <w:left w:val="nil"/>
              <w:bottom w:val="single" w:sz="4" w:space="0" w:color="auto"/>
            </w:tcBorders>
            <w:shd w:val="pct5" w:color="auto" w:fill="FFFFFF"/>
          </w:tcPr>
          <w:p w:rsidR="00672C32" w:rsidRPr="00BC0644" w:rsidRDefault="00672C32" w:rsidP="00126CC6">
            <w:pPr>
              <w:spacing w:line="276" w:lineRule="auto"/>
              <w:contextualSpacing/>
              <w:jc w:val="center"/>
            </w:pPr>
            <w:r w:rsidRPr="00BC0644">
              <w:t>Podpis</w:t>
            </w:r>
          </w:p>
        </w:tc>
        <w:tc>
          <w:tcPr>
            <w:tcW w:w="1701" w:type="dxa"/>
            <w:tcBorders>
              <w:top w:val="single" w:sz="4" w:space="0" w:color="auto"/>
              <w:bottom w:val="single" w:sz="4" w:space="0" w:color="auto"/>
            </w:tcBorders>
            <w:shd w:val="pct5" w:color="auto" w:fill="FFFFFF"/>
          </w:tcPr>
          <w:p w:rsidR="00672C32" w:rsidRPr="00BC0644" w:rsidRDefault="00672C32" w:rsidP="00126CC6">
            <w:pPr>
              <w:spacing w:line="276" w:lineRule="auto"/>
              <w:contextualSpacing/>
              <w:jc w:val="center"/>
            </w:pPr>
            <w:r w:rsidRPr="00BC0644">
              <w:t>Dátum</w:t>
            </w:r>
          </w:p>
        </w:tc>
        <w:tc>
          <w:tcPr>
            <w:tcW w:w="1559" w:type="dxa"/>
            <w:tcBorders>
              <w:top w:val="single" w:sz="4" w:space="0" w:color="auto"/>
              <w:bottom w:val="single" w:sz="4" w:space="0" w:color="auto"/>
            </w:tcBorders>
            <w:shd w:val="pct5" w:color="auto" w:fill="FFFFFF"/>
          </w:tcPr>
          <w:p w:rsidR="00672C32" w:rsidRPr="00BC0644" w:rsidRDefault="00672C32" w:rsidP="00126CC6">
            <w:pPr>
              <w:spacing w:line="276" w:lineRule="auto"/>
              <w:contextualSpacing/>
              <w:jc w:val="center"/>
            </w:pPr>
            <w:r w:rsidRPr="00BC0644">
              <w:t>Meno</w:t>
            </w:r>
          </w:p>
        </w:tc>
        <w:tc>
          <w:tcPr>
            <w:tcW w:w="1559" w:type="dxa"/>
            <w:tcBorders>
              <w:top w:val="single" w:sz="4" w:space="0" w:color="auto"/>
              <w:bottom w:val="single" w:sz="4" w:space="0" w:color="auto"/>
            </w:tcBorders>
            <w:shd w:val="pct5" w:color="auto" w:fill="FFFFFF"/>
          </w:tcPr>
          <w:p w:rsidR="00672C32" w:rsidRPr="00BC0644" w:rsidRDefault="00672C32" w:rsidP="00126CC6">
            <w:pPr>
              <w:spacing w:line="276" w:lineRule="auto"/>
              <w:contextualSpacing/>
              <w:jc w:val="center"/>
            </w:pPr>
            <w:r w:rsidRPr="00BC0644">
              <w:t>Podpis</w:t>
            </w:r>
          </w:p>
        </w:tc>
        <w:tc>
          <w:tcPr>
            <w:tcW w:w="1559" w:type="dxa"/>
            <w:tcBorders>
              <w:top w:val="single" w:sz="4" w:space="0" w:color="auto"/>
              <w:bottom w:val="single" w:sz="4" w:space="0" w:color="auto"/>
              <w:right w:val="double" w:sz="4" w:space="0" w:color="auto"/>
            </w:tcBorders>
            <w:shd w:val="pct5" w:color="auto" w:fill="FFFFFF"/>
          </w:tcPr>
          <w:p w:rsidR="00672C32" w:rsidRPr="00BC0644" w:rsidRDefault="00672C32" w:rsidP="00126CC6">
            <w:pPr>
              <w:spacing w:line="276" w:lineRule="auto"/>
              <w:contextualSpacing/>
              <w:jc w:val="center"/>
            </w:pPr>
            <w:r w:rsidRPr="00BC0644">
              <w:t>Dátum</w:t>
            </w:r>
          </w:p>
        </w:tc>
      </w:tr>
      <w:tr w:rsidR="00672C32" w:rsidRPr="00BC0644" w:rsidTr="00126CC6">
        <w:trPr>
          <w:cantSplit/>
          <w:trHeight w:val="225"/>
        </w:trPr>
        <w:tc>
          <w:tcPr>
            <w:tcW w:w="1668" w:type="dxa"/>
            <w:tcBorders>
              <w:top w:val="single" w:sz="4" w:space="0" w:color="auto"/>
              <w:left w:val="double" w:sz="4" w:space="0" w:color="auto"/>
              <w:bottom w:val="double" w:sz="4" w:space="0" w:color="auto"/>
              <w:right w:val="single" w:sz="4" w:space="0" w:color="auto"/>
            </w:tcBorders>
          </w:tcPr>
          <w:p w:rsidR="00672C32" w:rsidRPr="00BC0644" w:rsidRDefault="00672C32" w:rsidP="00126CC6">
            <w:pPr>
              <w:spacing w:line="276" w:lineRule="auto"/>
              <w:contextualSpacing/>
            </w:pPr>
          </w:p>
          <w:p w:rsidR="00672C32" w:rsidRPr="00BC0644" w:rsidRDefault="00672C32" w:rsidP="00126CC6">
            <w:pPr>
              <w:spacing w:line="276" w:lineRule="auto"/>
              <w:contextualSpacing/>
            </w:pPr>
          </w:p>
          <w:p w:rsidR="00672C32" w:rsidRPr="00BC0644" w:rsidRDefault="00672C32" w:rsidP="00126CC6">
            <w:pPr>
              <w:spacing w:line="276" w:lineRule="auto"/>
              <w:contextualSpacing/>
            </w:pPr>
          </w:p>
        </w:tc>
        <w:tc>
          <w:tcPr>
            <w:tcW w:w="1701" w:type="dxa"/>
            <w:tcBorders>
              <w:top w:val="single" w:sz="4" w:space="0" w:color="auto"/>
              <w:left w:val="nil"/>
              <w:bottom w:val="double" w:sz="4" w:space="0" w:color="auto"/>
            </w:tcBorders>
          </w:tcPr>
          <w:p w:rsidR="00672C32" w:rsidRPr="00BC0644" w:rsidRDefault="00672C32" w:rsidP="00126CC6">
            <w:pPr>
              <w:spacing w:line="276" w:lineRule="auto"/>
              <w:contextualSpacing/>
            </w:pPr>
          </w:p>
        </w:tc>
        <w:tc>
          <w:tcPr>
            <w:tcW w:w="1701" w:type="dxa"/>
            <w:tcBorders>
              <w:top w:val="single" w:sz="4" w:space="0" w:color="auto"/>
              <w:bottom w:val="double" w:sz="4" w:space="0" w:color="auto"/>
            </w:tcBorders>
          </w:tcPr>
          <w:p w:rsidR="00672C32" w:rsidRPr="00BC0644" w:rsidRDefault="00672C32" w:rsidP="00126CC6">
            <w:pPr>
              <w:spacing w:line="276" w:lineRule="auto"/>
              <w:contextualSpacing/>
            </w:pPr>
          </w:p>
        </w:tc>
        <w:tc>
          <w:tcPr>
            <w:tcW w:w="1559" w:type="dxa"/>
            <w:tcBorders>
              <w:top w:val="single" w:sz="4" w:space="0" w:color="auto"/>
              <w:bottom w:val="double" w:sz="4" w:space="0" w:color="auto"/>
            </w:tcBorders>
          </w:tcPr>
          <w:p w:rsidR="00672C32" w:rsidRPr="00BC0644" w:rsidRDefault="00672C32" w:rsidP="00126CC6">
            <w:pPr>
              <w:spacing w:line="276" w:lineRule="auto"/>
              <w:contextualSpacing/>
            </w:pPr>
          </w:p>
        </w:tc>
        <w:tc>
          <w:tcPr>
            <w:tcW w:w="1559" w:type="dxa"/>
            <w:tcBorders>
              <w:top w:val="single" w:sz="4" w:space="0" w:color="auto"/>
              <w:bottom w:val="double" w:sz="4" w:space="0" w:color="auto"/>
            </w:tcBorders>
          </w:tcPr>
          <w:p w:rsidR="00672C32" w:rsidRPr="00BC0644" w:rsidRDefault="00672C32" w:rsidP="00126CC6">
            <w:pPr>
              <w:spacing w:line="276" w:lineRule="auto"/>
              <w:contextualSpacing/>
            </w:pPr>
          </w:p>
        </w:tc>
        <w:tc>
          <w:tcPr>
            <w:tcW w:w="1559" w:type="dxa"/>
            <w:tcBorders>
              <w:top w:val="single" w:sz="4" w:space="0" w:color="auto"/>
              <w:bottom w:val="double" w:sz="4" w:space="0" w:color="auto"/>
              <w:right w:val="double" w:sz="4" w:space="0" w:color="auto"/>
            </w:tcBorders>
          </w:tcPr>
          <w:p w:rsidR="00672C32" w:rsidRPr="00BC0644" w:rsidRDefault="00672C32" w:rsidP="00126CC6">
            <w:pPr>
              <w:spacing w:line="276" w:lineRule="auto"/>
              <w:contextualSpacing/>
            </w:pPr>
          </w:p>
        </w:tc>
      </w:tr>
    </w:tbl>
    <w:p w:rsidR="00672C32" w:rsidRPr="00BC0644" w:rsidRDefault="00672C32" w:rsidP="00672C32">
      <w:pPr>
        <w:rPr>
          <w:b/>
        </w:rPr>
      </w:pPr>
    </w:p>
    <w:p w:rsidR="00672C32" w:rsidRPr="00294CD7" w:rsidRDefault="00672C32" w:rsidP="00672C32">
      <w:pPr>
        <w:tabs>
          <w:tab w:val="left" w:pos="708"/>
        </w:tabs>
        <w:suppressAutoHyphens/>
      </w:pPr>
    </w:p>
    <w:p w:rsidR="00AD77B7" w:rsidRDefault="00AD77B7"/>
    <w:sectPr w:rsidR="00AD77B7" w:rsidSect="0050064E">
      <w:headerReference w:type="first" r:id="rId7"/>
      <w:footerReference w:type="first" r:id="rId8"/>
      <w:pgSz w:w="11906" w:h="16838" w:code="9"/>
      <w:pgMar w:top="709" w:right="990" w:bottom="1438" w:left="1418"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0DF8" w:rsidRDefault="00DF0DF8">
      <w:r>
        <w:separator/>
      </w:r>
    </w:p>
  </w:endnote>
  <w:endnote w:type="continuationSeparator" w:id="0">
    <w:p w:rsidR="00DF0DF8" w:rsidRDefault="00D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NewRoman">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6C1C" w:rsidRPr="00884C20" w:rsidRDefault="00DF0DF8" w:rsidP="00884C20">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0DF8" w:rsidRDefault="00DF0DF8">
      <w:r>
        <w:separator/>
      </w:r>
    </w:p>
  </w:footnote>
  <w:footnote w:type="continuationSeparator" w:id="0">
    <w:p w:rsidR="00DF0DF8" w:rsidRDefault="00D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6C1C" w:rsidRPr="00884C20" w:rsidRDefault="00672C32" w:rsidP="00884C20">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2D9B"/>
    <w:multiLevelType w:val="hybridMultilevel"/>
    <w:tmpl w:val="662E85A8"/>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A1775"/>
    <w:multiLevelType w:val="hybridMultilevel"/>
    <w:tmpl w:val="566492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B6462"/>
    <w:multiLevelType w:val="hybridMultilevel"/>
    <w:tmpl w:val="8086FC64"/>
    <w:lvl w:ilvl="0" w:tplc="B94E9AF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CAA11B1"/>
    <w:multiLevelType w:val="hybridMultilevel"/>
    <w:tmpl w:val="E67CC482"/>
    <w:lvl w:ilvl="0" w:tplc="4CDE373E">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56696"/>
    <w:multiLevelType w:val="hybridMultilevel"/>
    <w:tmpl w:val="84B2218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0C928FA"/>
    <w:multiLevelType w:val="hybridMultilevel"/>
    <w:tmpl w:val="BFAA63F8"/>
    <w:lvl w:ilvl="0" w:tplc="041B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B28D36" w:tentative="1">
      <w:start w:val="1"/>
      <w:numFmt w:val="lowerRoman"/>
      <w:lvlText w:val="%3."/>
      <w:lvlJc w:val="right"/>
      <w:pPr>
        <w:tabs>
          <w:tab w:val="num" w:pos="1800"/>
        </w:tabs>
        <w:ind w:left="1800" w:hanging="180"/>
      </w:pPr>
    </w:lvl>
    <w:lvl w:ilvl="3" w:tplc="D77C395A" w:tentative="1">
      <w:start w:val="1"/>
      <w:numFmt w:val="decimal"/>
      <w:lvlText w:val="%4."/>
      <w:lvlJc w:val="left"/>
      <w:pPr>
        <w:tabs>
          <w:tab w:val="num" w:pos="2520"/>
        </w:tabs>
        <w:ind w:left="2520" w:hanging="360"/>
      </w:pPr>
    </w:lvl>
    <w:lvl w:ilvl="4" w:tplc="AA4246F4" w:tentative="1">
      <w:start w:val="1"/>
      <w:numFmt w:val="lowerLetter"/>
      <w:lvlText w:val="%5."/>
      <w:lvlJc w:val="left"/>
      <w:pPr>
        <w:tabs>
          <w:tab w:val="num" w:pos="3240"/>
        </w:tabs>
        <w:ind w:left="3240" w:hanging="360"/>
      </w:pPr>
    </w:lvl>
    <w:lvl w:ilvl="5" w:tplc="8E3AABE2" w:tentative="1">
      <w:start w:val="1"/>
      <w:numFmt w:val="lowerRoman"/>
      <w:lvlText w:val="%6."/>
      <w:lvlJc w:val="right"/>
      <w:pPr>
        <w:tabs>
          <w:tab w:val="num" w:pos="3960"/>
        </w:tabs>
        <w:ind w:left="3960" w:hanging="180"/>
      </w:pPr>
    </w:lvl>
    <w:lvl w:ilvl="6" w:tplc="6DA25EA2" w:tentative="1">
      <w:start w:val="1"/>
      <w:numFmt w:val="decimal"/>
      <w:lvlText w:val="%7."/>
      <w:lvlJc w:val="left"/>
      <w:pPr>
        <w:tabs>
          <w:tab w:val="num" w:pos="4680"/>
        </w:tabs>
        <w:ind w:left="4680" w:hanging="360"/>
      </w:pPr>
    </w:lvl>
    <w:lvl w:ilvl="7" w:tplc="DD2A3CF6" w:tentative="1">
      <w:start w:val="1"/>
      <w:numFmt w:val="lowerLetter"/>
      <w:lvlText w:val="%8."/>
      <w:lvlJc w:val="left"/>
      <w:pPr>
        <w:tabs>
          <w:tab w:val="num" w:pos="5400"/>
        </w:tabs>
        <w:ind w:left="5400" w:hanging="360"/>
      </w:pPr>
    </w:lvl>
    <w:lvl w:ilvl="8" w:tplc="24089592" w:tentative="1">
      <w:start w:val="1"/>
      <w:numFmt w:val="lowerRoman"/>
      <w:lvlText w:val="%9."/>
      <w:lvlJc w:val="right"/>
      <w:pPr>
        <w:tabs>
          <w:tab w:val="num" w:pos="6120"/>
        </w:tabs>
        <w:ind w:left="6120" w:hanging="180"/>
      </w:pPr>
    </w:lvl>
  </w:abstractNum>
  <w:abstractNum w:abstractNumId="6" w15:restartNumberingAfterBreak="0">
    <w:nsid w:val="117C060B"/>
    <w:multiLevelType w:val="hybridMultilevel"/>
    <w:tmpl w:val="11564C44"/>
    <w:lvl w:ilvl="0" w:tplc="A272845C">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31521"/>
    <w:multiLevelType w:val="hybridMultilevel"/>
    <w:tmpl w:val="7220ABD6"/>
    <w:lvl w:ilvl="0" w:tplc="634AA33A">
      <w:start w:val="1"/>
      <w:numFmt w:val="decimal"/>
      <w:lvlText w:val="13.%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DF10CF"/>
    <w:multiLevelType w:val="hybridMultilevel"/>
    <w:tmpl w:val="1242CD24"/>
    <w:lvl w:ilvl="0" w:tplc="668C624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B90C5C"/>
    <w:multiLevelType w:val="hybridMultilevel"/>
    <w:tmpl w:val="AFDA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791146"/>
    <w:multiLevelType w:val="hybridMultilevel"/>
    <w:tmpl w:val="16A888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24633B"/>
    <w:multiLevelType w:val="hybridMultilevel"/>
    <w:tmpl w:val="1A0EE2B6"/>
    <w:lvl w:ilvl="0" w:tplc="4A003754">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F831BD"/>
    <w:multiLevelType w:val="multilevel"/>
    <w:tmpl w:val="D7CA023E"/>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91025"/>
    <w:multiLevelType w:val="hybridMultilevel"/>
    <w:tmpl w:val="051EC0F8"/>
    <w:lvl w:ilvl="0" w:tplc="041B000F">
      <w:start w:val="1"/>
      <w:numFmt w:val="decimal"/>
      <w:lvlText w:val="%1."/>
      <w:lvlJc w:val="left"/>
      <w:pPr>
        <w:ind w:left="720" w:hanging="360"/>
      </w:pPr>
    </w:lvl>
    <w:lvl w:ilvl="1" w:tplc="0E9AADF2">
      <w:numFmt w:val="bullet"/>
      <w:lvlText w:val="-"/>
      <w:lvlJc w:val="left"/>
      <w:pPr>
        <w:ind w:left="1440" w:hanging="360"/>
      </w:pPr>
      <w:rPr>
        <w:rFonts w:ascii="Times New Roman" w:eastAsia="Calibri" w:hAnsi="Times New Roman" w:cs="Times New Roman" w:hint="default"/>
      </w:rPr>
    </w:lvl>
    <w:lvl w:ilvl="2" w:tplc="0E9AADF2">
      <w:numFmt w:val="bullet"/>
      <w:lvlText w:val="-"/>
      <w:lvlJc w:val="left"/>
      <w:pPr>
        <w:ind w:left="720" w:hanging="360"/>
      </w:pPr>
      <w:rPr>
        <w:rFonts w:ascii="Times New Roman" w:eastAsia="Calibri" w:hAnsi="Times New Roman" w:cs="Times New Roman" w:hint="default"/>
      </w:rPr>
    </w:lvl>
    <w:lvl w:ilvl="3" w:tplc="25FE0264">
      <w:numFmt w:val="bullet"/>
      <w:lvlText w:val="•"/>
      <w:lvlJc w:val="left"/>
      <w:pPr>
        <w:ind w:left="2880" w:hanging="360"/>
      </w:pPr>
      <w:rPr>
        <w:rFonts w:ascii="Times New Roman" w:eastAsia="Calibr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52428A"/>
    <w:multiLevelType w:val="hybridMultilevel"/>
    <w:tmpl w:val="C2329688"/>
    <w:lvl w:ilvl="0" w:tplc="F8A45DBE">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7C1715"/>
    <w:multiLevelType w:val="multilevel"/>
    <w:tmpl w:val="601A462A"/>
    <w:lvl w:ilvl="0">
      <w:start w:val="5"/>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D0209C"/>
    <w:multiLevelType w:val="hybridMultilevel"/>
    <w:tmpl w:val="8D66F2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1925BE"/>
    <w:multiLevelType w:val="hybridMultilevel"/>
    <w:tmpl w:val="418AA79C"/>
    <w:lvl w:ilvl="0" w:tplc="1A20C61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B8759B"/>
    <w:multiLevelType w:val="hybridMultilevel"/>
    <w:tmpl w:val="29F4D992"/>
    <w:lvl w:ilvl="0" w:tplc="DB7A5BBC">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AC7180"/>
    <w:multiLevelType w:val="hybridMultilevel"/>
    <w:tmpl w:val="F8E4D694"/>
    <w:lvl w:ilvl="0" w:tplc="0E9AADF2">
      <w:numFmt w:val="bullet"/>
      <w:lvlText w:val="-"/>
      <w:lvlJc w:val="left"/>
      <w:pPr>
        <w:ind w:left="720" w:hanging="360"/>
      </w:pPr>
      <w:rPr>
        <w:rFonts w:ascii="Times New Roman" w:eastAsia="Calibri" w:hAnsi="Times New Roman" w:cs="Times New Roman" w:hint="default"/>
      </w:rPr>
    </w:lvl>
    <w:lvl w:ilvl="1" w:tplc="0E9AADF2">
      <w:numFmt w:val="bullet"/>
      <w:lvlText w:val="-"/>
      <w:lvlJc w:val="left"/>
      <w:pPr>
        <w:ind w:left="1440"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6051FA"/>
    <w:multiLevelType w:val="hybridMultilevel"/>
    <w:tmpl w:val="6E566F14"/>
    <w:lvl w:ilvl="0" w:tplc="4A003754">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1D90C6E"/>
    <w:multiLevelType w:val="hybridMultilevel"/>
    <w:tmpl w:val="9E32786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370279A4"/>
    <w:multiLevelType w:val="hybridMultilevel"/>
    <w:tmpl w:val="D2689AC0"/>
    <w:lvl w:ilvl="0" w:tplc="9200AC7A">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AE0F3C"/>
    <w:multiLevelType w:val="hybridMultilevel"/>
    <w:tmpl w:val="D2F002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E005790"/>
    <w:multiLevelType w:val="hybridMultilevel"/>
    <w:tmpl w:val="9BE084CA"/>
    <w:lvl w:ilvl="0" w:tplc="041B0017">
      <w:start w:val="1"/>
      <w:numFmt w:val="lowerLetter"/>
      <w:lvlText w:val="%1)"/>
      <w:lvlJc w:val="left"/>
      <w:pPr>
        <w:ind w:left="720" w:hanging="360"/>
      </w:pPr>
    </w:lvl>
    <w:lvl w:ilvl="1" w:tplc="BAC499A4">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5444CC"/>
    <w:multiLevelType w:val="hybridMultilevel"/>
    <w:tmpl w:val="19E61190"/>
    <w:lvl w:ilvl="0" w:tplc="4A003754">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CC6AFD"/>
    <w:multiLevelType w:val="hybridMultilevel"/>
    <w:tmpl w:val="2B20F15A"/>
    <w:lvl w:ilvl="0" w:tplc="436E414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43191"/>
    <w:multiLevelType w:val="hybridMultilevel"/>
    <w:tmpl w:val="6DA6F2F2"/>
    <w:lvl w:ilvl="0" w:tplc="8B387B5E">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244D0"/>
    <w:multiLevelType w:val="hybridMultilevel"/>
    <w:tmpl w:val="3FAAABE2"/>
    <w:lvl w:ilvl="0" w:tplc="ADEA7FBE">
      <w:start w:val="1"/>
      <w:numFmt w:val="decimal"/>
      <w:lvlText w:val="1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B069A0"/>
    <w:multiLevelType w:val="hybridMultilevel"/>
    <w:tmpl w:val="BD668424"/>
    <w:lvl w:ilvl="0" w:tplc="4A003754">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8F6579"/>
    <w:multiLevelType w:val="multilevel"/>
    <w:tmpl w:val="258CB3BE"/>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FB5975"/>
    <w:multiLevelType w:val="multilevel"/>
    <w:tmpl w:val="3E08278A"/>
    <w:lvl w:ilvl="0">
      <w:start w:val="10"/>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0"/>
  </w:num>
  <w:num w:numId="3">
    <w:abstractNumId w:val="11"/>
  </w:num>
  <w:num w:numId="4">
    <w:abstractNumId w:val="29"/>
  </w:num>
  <w:num w:numId="5">
    <w:abstractNumId w:val="19"/>
  </w:num>
  <w:num w:numId="6">
    <w:abstractNumId w:val="13"/>
  </w:num>
  <w:num w:numId="7">
    <w:abstractNumId w:val="9"/>
  </w:num>
  <w:num w:numId="8">
    <w:abstractNumId w:val="16"/>
  </w:num>
  <w:num w:numId="9">
    <w:abstractNumId w:val="1"/>
  </w:num>
  <w:num w:numId="10">
    <w:abstractNumId w:val="4"/>
  </w:num>
  <w:num w:numId="11">
    <w:abstractNumId w:val="21"/>
  </w:num>
  <w:num w:numId="12">
    <w:abstractNumId w:val="24"/>
  </w:num>
  <w:num w:numId="13">
    <w:abstractNumId w:val="5"/>
  </w:num>
  <w:num w:numId="14">
    <w:abstractNumId w:val="12"/>
  </w:num>
  <w:num w:numId="15">
    <w:abstractNumId w:val="8"/>
  </w:num>
  <w:num w:numId="16">
    <w:abstractNumId w:val="22"/>
  </w:num>
  <w:num w:numId="17">
    <w:abstractNumId w:val="15"/>
  </w:num>
  <w:num w:numId="18">
    <w:abstractNumId w:val="17"/>
  </w:num>
  <w:num w:numId="19">
    <w:abstractNumId w:val="3"/>
  </w:num>
  <w:num w:numId="20">
    <w:abstractNumId w:val="30"/>
  </w:num>
  <w:num w:numId="21">
    <w:abstractNumId w:val="2"/>
  </w:num>
  <w:num w:numId="22">
    <w:abstractNumId w:val="26"/>
  </w:num>
  <w:num w:numId="23">
    <w:abstractNumId w:val="31"/>
  </w:num>
  <w:num w:numId="24">
    <w:abstractNumId w:val="18"/>
  </w:num>
  <w:num w:numId="25">
    <w:abstractNumId w:val="28"/>
  </w:num>
  <w:num w:numId="26">
    <w:abstractNumId w:val="7"/>
  </w:num>
  <w:num w:numId="27">
    <w:abstractNumId w:val="14"/>
  </w:num>
  <w:num w:numId="28">
    <w:abstractNumId w:val="27"/>
  </w:num>
  <w:num w:numId="29">
    <w:abstractNumId w:val="6"/>
  </w:num>
  <w:num w:numId="30">
    <w:abstractNumId w:val="0"/>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32"/>
    <w:rsid w:val="003437D4"/>
    <w:rsid w:val="0050064E"/>
    <w:rsid w:val="00672C32"/>
    <w:rsid w:val="00AD77B7"/>
    <w:rsid w:val="00DF0DF8"/>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12F01199"/>
  <w15:chartTrackingRefBased/>
  <w15:docId w15:val="{3E4BDF3B-9EED-AD4B-A15E-1E79DE1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32"/>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1"/>
    <w:basedOn w:val="Normal"/>
    <w:link w:val="HeaderChar"/>
    <w:uiPriority w:val="99"/>
    <w:rsid w:val="00672C32"/>
    <w:pPr>
      <w:tabs>
        <w:tab w:val="center" w:pos="4536"/>
        <w:tab w:val="right" w:pos="9072"/>
      </w:tabs>
    </w:pPr>
  </w:style>
  <w:style w:type="character" w:customStyle="1" w:styleId="HeaderChar">
    <w:name w:val="Header Char"/>
    <w:aliases w:val=" 1 Char"/>
    <w:basedOn w:val="DefaultParagraphFont"/>
    <w:link w:val="Header"/>
    <w:uiPriority w:val="99"/>
    <w:rsid w:val="00672C32"/>
    <w:rPr>
      <w:rFonts w:ascii="Times New Roman" w:eastAsia="Times New Roman" w:hAnsi="Times New Roman" w:cs="Times New Roman"/>
      <w:lang w:val="sk-SK" w:eastAsia="sk-SK"/>
    </w:rPr>
  </w:style>
  <w:style w:type="paragraph" w:styleId="Footer">
    <w:name w:val="footer"/>
    <w:basedOn w:val="Normal"/>
    <w:link w:val="FooterChar"/>
    <w:rsid w:val="00672C32"/>
    <w:pPr>
      <w:tabs>
        <w:tab w:val="center" w:pos="4536"/>
        <w:tab w:val="right" w:pos="9072"/>
      </w:tabs>
    </w:pPr>
  </w:style>
  <w:style w:type="character" w:customStyle="1" w:styleId="FooterChar">
    <w:name w:val="Footer Char"/>
    <w:basedOn w:val="DefaultParagraphFont"/>
    <w:link w:val="Footer"/>
    <w:rsid w:val="00672C32"/>
    <w:rPr>
      <w:rFonts w:ascii="Times New Roman" w:eastAsia="Times New Roman" w:hAnsi="Times New Roman" w:cs="Times New Roman"/>
      <w:lang w:val="sk-SK" w:eastAsia="sk-SK"/>
    </w:rPr>
  </w:style>
  <w:style w:type="character" w:styleId="PageNumber">
    <w:name w:val="page number"/>
    <w:basedOn w:val="DefaultParagraphFont"/>
    <w:rsid w:val="00672C32"/>
  </w:style>
  <w:style w:type="paragraph" w:styleId="ListParagraph">
    <w:name w:val="List Paragraph"/>
    <w:aliases w:val="Odsek,Odsek 1.,Bullet Number,lp1,lp11,List Paragraph11,Bullet 1,Use Case List Paragraph"/>
    <w:basedOn w:val="Normal"/>
    <w:link w:val="ListParagraphChar"/>
    <w:uiPriority w:val="34"/>
    <w:qFormat/>
    <w:rsid w:val="00672C32"/>
    <w:pPr>
      <w:ind w:left="708"/>
    </w:pPr>
    <w:rPr>
      <w:lang w:eastAsia="cs-CZ"/>
    </w:rPr>
  </w:style>
  <w:style w:type="character" w:customStyle="1" w:styleId="ListParagraphChar">
    <w:name w:val="List Paragraph Char"/>
    <w:aliases w:val="Odsek Char,Odsek 1. Char,Bullet Number Char,lp1 Char,lp11 Char,List Paragraph11 Char,Bullet 1 Char,Use Case List Paragraph Char"/>
    <w:link w:val="ListParagraph"/>
    <w:uiPriority w:val="34"/>
    <w:locked/>
    <w:rsid w:val="00672C32"/>
    <w:rPr>
      <w:rFonts w:ascii="Times New Roman" w:eastAsia="Times New Roman" w:hAnsi="Times New Roman" w:cs="Times New Roman"/>
      <w:lang w:val="sk-SK" w:eastAsia="cs-CZ"/>
    </w:rPr>
  </w:style>
  <w:style w:type="paragraph" w:customStyle="1" w:styleId="Default">
    <w:name w:val="Default"/>
    <w:rsid w:val="00672C32"/>
    <w:pPr>
      <w:autoSpaceDE w:val="0"/>
      <w:autoSpaceDN w:val="0"/>
      <w:adjustRightInd w:val="0"/>
    </w:pPr>
    <w:rPr>
      <w:rFonts w:ascii="Times New Roman" w:eastAsia="Calibri" w:hAnsi="Times New Roman" w:cs="Times New Roman"/>
      <w:color w:val="000000"/>
      <w:lang w:val="sk-SK" w:eastAsia="sk-SK"/>
    </w:rPr>
  </w:style>
  <w:style w:type="paragraph" w:customStyle="1" w:styleId="KapitolySPA">
    <w:name w:val="Kapitoly SP A"/>
    <w:aliases w:val="B,C"/>
    <w:basedOn w:val="Normal"/>
    <w:next w:val="Normal"/>
    <w:qFormat/>
    <w:rsid w:val="00672C32"/>
    <w:pPr>
      <w:contextualSpacing/>
      <w:jc w:val="center"/>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5479</Words>
  <Characters>34140</Characters>
  <Application>Microsoft Office Word</Application>
  <DocSecurity>0</DocSecurity>
  <Lines>682</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Katarína Grejták Bednáriková</cp:lastModifiedBy>
  <cp:revision>2</cp:revision>
  <dcterms:created xsi:type="dcterms:W3CDTF">2020-10-30T16:50:00Z</dcterms:created>
  <dcterms:modified xsi:type="dcterms:W3CDTF">2020-10-30T16:51:00Z</dcterms:modified>
  <cp:category/>
</cp:coreProperties>
</file>