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575614" w:rsidP="005E545A">
      <w:pPr>
        <w:rPr>
          <w:rFonts w:ascii="Times New Roman" w:hAnsi="Times New Roman" w:cs="Times New Roman"/>
          <w:i/>
          <w:sz w:val="24"/>
          <w:szCs w:val="24"/>
        </w:rPr>
      </w:pPr>
      <w:r>
        <w:rPr>
          <w:rFonts w:ascii="Times New Roman" w:hAnsi="Times New Roman" w:cs="Times New Roman"/>
          <w:i/>
          <w:sz w:val="24"/>
          <w:szCs w:val="24"/>
        </w:rPr>
        <w:t>Príloha č. 1G Časť 7</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Čerstvé slepačie vajcia</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B33C8D"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45B64" w:rsidRPr="000F2C6F" w:rsidRDefault="00845B64" w:rsidP="005E545A">
      <w:pPr>
        <w:pStyle w:val="Zarkazkladnhotextu2"/>
        <w:spacing w:before="120" w:line="240" w:lineRule="auto"/>
        <w:ind w:left="0"/>
        <w:jc w:val="both"/>
      </w:pPr>
      <w:r w:rsidRPr="000F2C6F">
        <w:t>Požaduje sa uvádzať záručné lehoty pre každý dodaný tovar v dodacích listoch, resp. vo faktúre tak, aby bolo možné odkontrolovať dodržiavanie neprekročenia prvej tretin</w:t>
      </w:r>
      <w:r w:rsidR="005E545A" w:rsidRPr="000F2C6F">
        <w:t>y doby spotreby v čase dodania.</w:t>
      </w: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575614">
        <w:rPr>
          <w:rFonts w:ascii="Times New Roman" w:hAnsi="Times New Roman" w:cs="Times New Roman"/>
          <w:b/>
          <w:sz w:val="24"/>
          <w:szCs w:val="24"/>
        </w:rPr>
        <w:t>7</w:t>
      </w:r>
      <w:r w:rsidRPr="000F2C6F">
        <w:rPr>
          <w:rFonts w:ascii="Times New Roman" w:hAnsi="Times New Roman" w:cs="Times New Roman"/>
          <w:b/>
          <w:sz w:val="24"/>
          <w:szCs w:val="24"/>
        </w:rPr>
        <w:t xml:space="preserve"> </w:t>
      </w:r>
      <w:r w:rsidR="00575614">
        <w:rPr>
          <w:rFonts w:ascii="Times New Roman" w:hAnsi="Times New Roman" w:cs="Times New Roman"/>
          <w:b/>
          <w:sz w:val="24"/>
          <w:szCs w:val="24"/>
        </w:rPr>
        <w:t>Čerstvé slepačie vajcia</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F6065A">
        <w:trPr>
          <w:trHeight w:hRule="exact" w:val="1587"/>
          <w:tblHeader/>
        </w:trPr>
        <w:tc>
          <w:tcPr>
            <w:tcW w:w="932" w:type="dxa"/>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325B51" w:rsidRPr="003F74DD" w:rsidTr="00F6065A">
        <w:trPr>
          <w:trHeight w:val="20"/>
        </w:trPr>
        <w:tc>
          <w:tcPr>
            <w:tcW w:w="932" w:type="dxa"/>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rPr>
                <w:rFonts w:ascii="Times New Roman" w:hAnsi="Times New Roman" w:cs="Times New Roman"/>
                <w:sz w:val="24"/>
                <w:szCs w:val="24"/>
              </w:rPr>
            </w:pPr>
            <w:r w:rsidRPr="003F74DD">
              <w:rPr>
                <w:rFonts w:ascii="Times New Roman" w:hAnsi="Times New Roman" w:cs="Times New Roman"/>
                <w:bCs/>
                <w:sz w:val="24"/>
                <w:szCs w:val="24"/>
              </w:rPr>
              <w:t xml:space="preserve">       1.</w:t>
            </w:r>
          </w:p>
        </w:tc>
        <w:tc>
          <w:tcPr>
            <w:tcW w:w="4044" w:type="dxa"/>
            <w:shd w:val="clear" w:color="auto" w:fill="auto"/>
            <w:tcMar>
              <w:left w:w="88" w:type="dxa"/>
            </w:tcMar>
            <w:vAlign w:val="center"/>
          </w:tcPr>
          <w:p w:rsidR="00325B51" w:rsidRPr="00575614" w:rsidRDefault="00575614" w:rsidP="00325B51">
            <w:pPr>
              <w:rPr>
                <w:rFonts w:ascii="Times New Roman" w:hAnsi="Times New Roman" w:cs="Times New Roman"/>
                <w:color w:val="000000"/>
              </w:rPr>
            </w:pPr>
            <w:r w:rsidRPr="00575614">
              <w:rPr>
                <w:rFonts w:ascii="Times New Roman" w:hAnsi="Times New Roman" w:cs="Times New Roman"/>
                <w:color w:val="000000"/>
                <w:sz w:val="24"/>
              </w:rPr>
              <w:t>Čerstvé slepačie vajcia veľkosti „L“</w:t>
            </w:r>
          </w:p>
        </w:tc>
        <w:tc>
          <w:tcPr>
            <w:tcW w:w="1788" w:type="dxa"/>
            <w:shd w:val="clear" w:color="auto" w:fill="auto"/>
            <w:tcMar>
              <w:left w:w="88" w:type="dxa"/>
            </w:tcMar>
            <w:vAlign w:val="center"/>
          </w:tcPr>
          <w:p w:rsidR="00325B51" w:rsidRPr="00325B51" w:rsidRDefault="00325B51" w:rsidP="00325B51">
            <w:pPr>
              <w:jc w:val="right"/>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25B51" w:rsidRPr="00325B51" w:rsidRDefault="00575614" w:rsidP="00325B51">
            <w:pPr>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r w:rsidR="00B33C8D">
              <w:rPr>
                <w:rFonts w:ascii="Times New Roman" w:hAnsi="Times New Roman" w:cs="Times New Roman"/>
                <w:color w:val="000000"/>
                <w:sz w:val="24"/>
                <w:szCs w:val="24"/>
              </w:rPr>
              <w:t xml:space="preserve"> </w:t>
            </w:r>
            <w:bookmarkStart w:id="2" w:name="_GoBack"/>
            <w:bookmarkEnd w:id="2"/>
            <w:r>
              <w:rPr>
                <w:rFonts w:ascii="Times New Roman" w:hAnsi="Times New Roman" w:cs="Times New Roman"/>
                <w:color w:val="000000"/>
                <w:sz w:val="24"/>
                <w:szCs w:val="24"/>
              </w:rPr>
              <w:t>000</w:t>
            </w:r>
            <w:r w:rsidR="00325B51">
              <w:rPr>
                <w:rFonts w:ascii="Times New Roman" w:hAnsi="Times New Roman" w:cs="Times New Roman"/>
                <w:color w:val="000000"/>
                <w:sz w:val="24"/>
                <w:szCs w:val="24"/>
              </w:rPr>
              <w:t xml:space="preserve"> </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325B51"/>
    <w:rsid w:val="003F74DD"/>
    <w:rsid w:val="00575614"/>
    <w:rsid w:val="005E545A"/>
    <w:rsid w:val="00746BC6"/>
    <w:rsid w:val="007E54AB"/>
    <w:rsid w:val="00845B64"/>
    <w:rsid w:val="00971E16"/>
    <w:rsid w:val="009A36DD"/>
    <w:rsid w:val="009C50B1"/>
    <w:rsid w:val="00A25DDF"/>
    <w:rsid w:val="00A5008D"/>
    <w:rsid w:val="00B33C8D"/>
    <w:rsid w:val="00F6065A"/>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022"/>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2020-11-09T10:02:00Z</dcterms:created>
  <dcterms:modified xsi:type="dcterms:W3CDTF">2020-11-17T23:53:00Z</dcterms:modified>
</cp:coreProperties>
</file>