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5B6" w14:textId="77777777"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14:paraId="627F54F7" w14:textId="77777777" w:rsidR="00C15837" w:rsidRDefault="00C15837" w:rsidP="00C15837">
      <w:pPr>
        <w:rPr>
          <w:rFonts w:ascii="Arial Narrow" w:hAnsi="Arial Narrow"/>
          <w:b/>
          <w:sz w:val="22"/>
        </w:rPr>
      </w:pPr>
      <w:r>
        <w:rPr>
          <w:rFonts w:ascii="Arial Narrow" w:hAnsi="Arial Narrow"/>
          <w:b/>
          <w:sz w:val="22"/>
        </w:rPr>
        <w:t xml:space="preserve">1. </w:t>
      </w:r>
      <w:r w:rsidRPr="006410FC">
        <w:rPr>
          <w:rFonts w:ascii="Arial Narrow" w:hAnsi="Arial Narrow"/>
          <w:b/>
          <w:sz w:val="22"/>
        </w:rPr>
        <w:t xml:space="preserve">Osobné postavenie podľa § 32 </w:t>
      </w:r>
      <w:r w:rsidRPr="00B45776">
        <w:rPr>
          <w:rFonts w:ascii="Arial Narrow" w:hAnsi="Arial Narrow" w:cs="Tahoma"/>
          <w:b/>
          <w:sz w:val="22"/>
        </w:rPr>
        <w:t>ods</w:t>
      </w:r>
      <w:r w:rsidRPr="00C15837">
        <w:rPr>
          <w:rFonts w:ascii="Arial Narrow" w:hAnsi="Arial Narrow" w:cs="Tahoma"/>
          <w:b/>
          <w:sz w:val="22"/>
        </w:rPr>
        <w:t>. 1 zákona</w:t>
      </w:r>
      <w:r>
        <w:rPr>
          <w:rFonts w:ascii="Arial Narrow" w:hAnsi="Arial Narrow" w:cs="Tahoma"/>
          <w:sz w:val="22"/>
        </w:rPr>
        <w:t xml:space="preserve"> </w:t>
      </w:r>
    </w:p>
    <w:p w14:paraId="1CA667F2" w14:textId="705EDEB2" w:rsidR="007B66A5" w:rsidRDefault="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0FBF9F35" w14:textId="25BC0DFF" w:rsidR="006308B1" w:rsidRPr="00440809" w:rsidRDefault="006308B1" w:rsidP="006308B1">
      <w:pPr>
        <w:jc w:val="both"/>
        <w:rPr>
          <w:rFonts w:ascii="Arial Narrow" w:eastAsia="Arial" w:hAnsi="Arial Narrow"/>
          <w:sz w:val="22"/>
        </w:rPr>
      </w:pPr>
      <w:r w:rsidRPr="00440809">
        <w:rPr>
          <w:rFonts w:ascii="Arial Narrow" w:eastAsia="Arial" w:hAnsi="Arial Narrow"/>
          <w:sz w:val="22"/>
        </w:rPr>
        <w:t xml:space="preserve">Uchádzač musí </w:t>
      </w:r>
      <w:r w:rsidR="00667827">
        <w:rPr>
          <w:rFonts w:ascii="Arial Narrow" w:eastAsia="Arial" w:hAnsi="Arial Narrow"/>
          <w:sz w:val="22"/>
        </w:rPr>
        <w:t xml:space="preserve">preukázať </w:t>
      </w:r>
      <w:r w:rsidRPr="00440809">
        <w:rPr>
          <w:rFonts w:ascii="Arial Narrow" w:eastAsia="Arial" w:hAnsi="Arial Narrow"/>
          <w:sz w:val="22"/>
        </w:rPr>
        <w:t>sp</w:t>
      </w:r>
      <w:r w:rsidR="00667827">
        <w:rPr>
          <w:rFonts w:ascii="Arial Narrow" w:eastAsia="Arial" w:hAnsi="Arial Narrow"/>
          <w:sz w:val="22"/>
        </w:rPr>
        <w:t>lnenie</w:t>
      </w:r>
      <w:r w:rsidRPr="00440809">
        <w:rPr>
          <w:rFonts w:ascii="Arial Narrow" w:eastAsia="Arial" w:hAnsi="Arial Narrow"/>
          <w:sz w:val="22"/>
        </w:rPr>
        <w:t xml:space="preserve"> nasledovn</w:t>
      </w:r>
      <w:r w:rsidR="00667827">
        <w:rPr>
          <w:rFonts w:ascii="Arial Narrow" w:eastAsia="Arial" w:hAnsi="Arial Narrow"/>
          <w:sz w:val="22"/>
        </w:rPr>
        <w:t>ých</w:t>
      </w:r>
      <w:r w:rsidRPr="00440809">
        <w:rPr>
          <w:rFonts w:ascii="Arial Narrow" w:eastAsia="Arial" w:hAnsi="Arial Narrow"/>
          <w:sz w:val="22"/>
        </w:rPr>
        <w:t xml:space="preserve"> podmien</w:t>
      </w:r>
      <w:r w:rsidR="00667827">
        <w:rPr>
          <w:rFonts w:ascii="Arial Narrow" w:eastAsia="Arial" w:hAnsi="Arial Narrow"/>
          <w:sz w:val="22"/>
        </w:rPr>
        <w:t>o</w:t>
      </w:r>
      <w:r w:rsidRPr="00440809">
        <w:rPr>
          <w:rFonts w:ascii="Arial Narrow" w:eastAsia="Arial" w:hAnsi="Arial Narrow"/>
          <w:sz w:val="22"/>
        </w:rPr>
        <w:t>k účasti týkajúce sa osobného postavenia:</w:t>
      </w:r>
    </w:p>
    <w:p w14:paraId="454B8028"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C805871" w14:textId="3125B18C" w:rsidR="006308B1" w:rsidRPr="00440809" w:rsidRDefault="006308B1" w:rsidP="006308B1">
      <w:pPr>
        <w:pStyle w:val="Odsekzoznamu"/>
        <w:ind w:left="681"/>
        <w:jc w:val="both"/>
        <w:rPr>
          <w:rFonts w:ascii="Arial Narrow" w:eastAsia="Arial" w:hAnsi="Arial Narrow"/>
          <w:sz w:val="22"/>
        </w:rPr>
      </w:pPr>
    </w:p>
    <w:p w14:paraId="62CDE60D"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b) zákona, že uchádzač nemá </w:t>
      </w:r>
      <w:r w:rsidRPr="006127A4">
        <w:rPr>
          <w:rFonts w:ascii="Arial Narrow" w:eastAsia="Arial" w:hAnsi="Arial Narrow"/>
          <w:sz w:val="22"/>
        </w:rPr>
        <w:t>evidované nedoplatky na poistnom na sociálne poistenie a zdravotná poisťovňa neeviduje voči nemu pohľadávky po splatnosti podľa osobitných predpisov</w:t>
      </w:r>
      <w:r w:rsidRPr="00440809">
        <w:rPr>
          <w:rFonts w:ascii="Arial Narrow" w:eastAsia="Arial" w:hAnsi="Arial Narrow"/>
          <w:sz w:val="22"/>
        </w:rPr>
        <w:t xml:space="preserve">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FFF7C6F" w14:textId="77777777" w:rsidR="006308B1" w:rsidRPr="00440809" w:rsidRDefault="006308B1" w:rsidP="006308B1">
      <w:pPr>
        <w:pStyle w:val="Odsekzoznamu"/>
        <w:ind w:left="681"/>
        <w:jc w:val="both"/>
        <w:rPr>
          <w:rFonts w:ascii="Arial Narrow" w:eastAsia="Arial" w:hAnsi="Arial Narrow"/>
          <w:sz w:val="22"/>
        </w:rPr>
      </w:pPr>
    </w:p>
    <w:p w14:paraId="00F1EE85" w14:textId="5CC9CBFD"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 xml:space="preserve">podľa § 32 ods. 1 písm. c) zákona, že </w:t>
      </w:r>
      <w:r>
        <w:rPr>
          <w:rFonts w:ascii="Arial Narrow" w:eastAsia="Arial" w:hAnsi="Arial Narrow"/>
          <w:sz w:val="22"/>
        </w:rPr>
        <w:t xml:space="preserve">nemá </w:t>
      </w:r>
      <w:r w:rsidRPr="006127A4">
        <w:rPr>
          <w:rFonts w:ascii="Arial Narrow" w:eastAsia="Arial" w:hAnsi="Arial Narrow"/>
          <w:sz w:val="22"/>
        </w:rPr>
        <w:t>evidované daňové nedoplatky voči daňovému úradu a colnému úradu podľa osobitných predpisov</w:t>
      </w:r>
      <w:r>
        <w:rPr>
          <w:rFonts w:ascii="Arial Narrow" w:eastAsia="Arial" w:hAnsi="Arial Narrow"/>
          <w:sz w:val="22"/>
        </w:rPr>
        <w:t xml:space="preserve"> </w:t>
      </w:r>
      <w:r w:rsidRPr="00440809">
        <w:rPr>
          <w:rFonts w:ascii="Arial Narrow" w:eastAsia="Arial" w:hAnsi="Arial Narrow"/>
          <w:sz w:val="22"/>
        </w:rPr>
        <w:t xml:space="preserve">v Slovenskej republike alebo v štáte sídla, miesta podnikania alebo obvyklého pobytu. Uvedenú podmienku účasti preukáže uchádzač v súlade s § 32 ods. 2 písm. c) zákona doloženým potvrdením miestne príslušného daňového úradu </w:t>
      </w:r>
      <w:r w:rsidRPr="00FA50E7">
        <w:rPr>
          <w:rFonts w:ascii="Arial Narrow" w:eastAsia="Arial" w:hAnsi="Arial Narrow"/>
          <w:sz w:val="22"/>
        </w:rPr>
        <w:t>a miestne príslušného colného úradu</w:t>
      </w:r>
      <w:r>
        <w:rPr>
          <w:rFonts w:ascii="Segoe UI" w:hAnsi="Segoe UI" w:cs="Segoe UI"/>
          <w:color w:val="494949"/>
          <w:sz w:val="21"/>
          <w:szCs w:val="21"/>
          <w:shd w:val="clear" w:color="auto" w:fill="FFFFFF"/>
        </w:rPr>
        <w:t xml:space="preserve"> </w:t>
      </w:r>
      <w:r w:rsidRPr="00440809">
        <w:rPr>
          <w:rFonts w:ascii="Arial Narrow" w:eastAsia="Arial" w:hAnsi="Arial Narrow"/>
          <w:sz w:val="22"/>
        </w:rPr>
        <w:t>nie starším ako tri mesiace (v prípade potvrdenia obsahujúceho nedoplatok predloží aj doklad o zaplatení nedoplatku alebo o povolení platiť nedoplatky v splátkach).</w:t>
      </w:r>
    </w:p>
    <w:p w14:paraId="5C581C10" w14:textId="77777777" w:rsidR="006308B1" w:rsidRPr="00440809" w:rsidRDefault="006308B1" w:rsidP="006308B1">
      <w:pPr>
        <w:pStyle w:val="Odsekzoznamu"/>
        <w:ind w:left="681"/>
        <w:jc w:val="both"/>
        <w:rPr>
          <w:rFonts w:ascii="Arial Narrow" w:eastAsia="Arial" w:hAnsi="Arial Narrow"/>
          <w:sz w:val="22"/>
        </w:rPr>
      </w:pPr>
    </w:p>
    <w:p w14:paraId="25B2B97F"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482F256" w14:textId="77777777" w:rsidR="006308B1" w:rsidRPr="00440809" w:rsidRDefault="006308B1" w:rsidP="006308B1">
      <w:pPr>
        <w:pStyle w:val="Odsekzoznamu"/>
        <w:ind w:left="681"/>
        <w:jc w:val="both"/>
        <w:rPr>
          <w:rFonts w:ascii="Arial Narrow" w:eastAsia="Arial" w:hAnsi="Arial Narrow"/>
          <w:sz w:val="22"/>
        </w:rPr>
      </w:pPr>
    </w:p>
    <w:p w14:paraId="3E97A5BC"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e) zákona, že je oprávnený dodávať tovar, uskutočňovať stavebné práce alebo poskytovať službu. Uvedenú podmienku účasti preukáže uchádzač v súlade s § 32 ods. 2 písm. e) doloženým dokladom o oprávnení dodávať tovar, uskutočňovať stavebné práce alebo poskytovať službu, ktorý zodpovedá predmetu zákazky.</w:t>
      </w:r>
    </w:p>
    <w:p w14:paraId="5ABDE4A1" w14:textId="77777777" w:rsidR="006308B1" w:rsidRPr="00440809" w:rsidRDefault="006308B1" w:rsidP="006308B1">
      <w:pPr>
        <w:pStyle w:val="Odsekzoznamu"/>
        <w:rPr>
          <w:rFonts w:ascii="Arial Narrow" w:eastAsia="Arial" w:hAnsi="Arial Narrow"/>
          <w:sz w:val="22"/>
        </w:rPr>
      </w:pPr>
    </w:p>
    <w:p w14:paraId="41F8CB55"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09D435D" w14:textId="77777777" w:rsidR="006308B1" w:rsidRPr="00440809" w:rsidRDefault="006308B1" w:rsidP="006308B1">
      <w:pPr>
        <w:pStyle w:val="Odsekzoznamu"/>
        <w:ind w:left="681"/>
        <w:jc w:val="both"/>
        <w:rPr>
          <w:rFonts w:ascii="Arial Narrow" w:eastAsia="Arial" w:hAnsi="Arial Narrow"/>
          <w:sz w:val="22"/>
        </w:rPr>
      </w:pPr>
    </w:p>
    <w:p w14:paraId="2C2E0534" w14:textId="77777777" w:rsidR="006308B1" w:rsidRPr="00440809" w:rsidRDefault="006308B1" w:rsidP="006308B1">
      <w:pPr>
        <w:pStyle w:val="Odsekzoznamu"/>
        <w:numPr>
          <w:ilvl w:val="0"/>
          <w:numId w:val="12"/>
        </w:numPr>
        <w:jc w:val="both"/>
        <w:rPr>
          <w:rFonts w:ascii="Arial Narrow" w:eastAsia="Arial" w:hAnsi="Arial Narrow"/>
          <w:sz w:val="22"/>
        </w:rPr>
      </w:pPr>
      <w:r w:rsidRPr="00440809">
        <w:rPr>
          <w:rFonts w:ascii="Arial Narrow" w:eastAsia="Arial" w:hAnsi="Arial Narrow"/>
          <w:sz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C8A5B21" w14:textId="77777777" w:rsidR="006308B1" w:rsidRPr="00440809" w:rsidRDefault="006308B1" w:rsidP="006308B1">
      <w:pPr>
        <w:ind w:left="600" w:hanging="279"/>
        <w:jc w:val="both"/>
        <w:rPr>
          <w:rFonts w:ascii="Arial Narrow" w:eastAsia="Arial" w:hAnsi="Arial Narrow"/>
          <w:sz w:val="22"/>
        </w:rPr>
      </w:pPr>
      <w:r w:rsidRPr="00440809">
        <w:rPr>
          <w:rFonts w:ascii="Arial Narrow" w:eastAsia="Arial" w:hAnsi="Arial Narrow"/>
          <w:sz w:val="22"/>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2D6F204"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Doklady, ktoré sa nepredkladajú:</w:t>
      </w:r>
    </w:p>
    <w:p w14:paraId="6B0F70C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A66364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14:paraId="4E3DB77B"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zdravotnej poisťovne a Sociálnej poisťovne podľa § 32 ods. 1 písm. b) a  ods. 2 písm. b) zákona,</w:t>
      </w:r>
    </w:p>
    <w:p w14:paraId="30B4DA8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potvrdenia miestne príslušného daňového úradu a miestne príslušného colného úradu podľa § 32 ods. 1 písm. c) a ods. 2 písm. c) zákona,</w:t>
      </w:r>
    </w:p>
    <w:p w14:paraId="253035A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w:t>
      </w:r>
      <w:r w:rsidRPr="00EF4FAB">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586FB85"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p>
    <w:p w14:paraId="666BEB77" w14:textId="77777777" w:rsidR="006308B1" w:rsidRPr="00EF4FAB"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Upozornenie:</w:t>
      </w:r>
    </w:p>
    <w:p w14:paraId="36EE6EAE" w14:textId="55351F61" w:rsidR="007B66A5" w:rsidRPr="007B66A5" w:rsidRDefault="006308B1" w:rsidP="006308B1">
      <w:pPr>
        <w:autoSpaceDE w:val="0"/>
        <w:autoSpaceDN w:val="0"/>
        <w:adjustRightInd w:val="0"/>
        <w:spacing w:after="0" w:line="240" w:lineRule="auto"/>
        <w:jc w:val="both"/>
        <w:rPr>
          <w:rFonts w:ascii="Arial Narrow" w:hAnsi="Arial Narrow" w:cs="Tahoma"/>
          <w:sz w:val="22"/>
        </w:rPr>
      </w:pPr>
      <w:r w:rsidRPr="00EF4FAB">
        <w:rPr>
          <w:rFonts w:ascii="Arial Narrow" w:hAnsi="Arial Narrow" w:cs="Tahoma"/>
          <w:sz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88C93C4" w14:textId="77777777" w:rsidR="00382F8A" w:rsidRDefault="00382F8A" w:rsidP="007B66A5">
      <w:pPr>
        <w:autoSpaceDE w:val="0"/>
        <w:autoSpaceDN w:val="0"/>
        <w:adjustRightInd w:val="0"/>
        <w:spacing w:after="0" w:line="240" w:lineRule="auto"/>
        <w:jc w:val="both"/>
        <w:rPr>
          <w:rFonts w:ascii="Arial Narrow" w:hAnsi="Arial Narrow" w:cs="Tahoma"/>
          <w:sz w:val="22"/>
        </w:rPr>
      </w:pPr>
    </w:p>
    <w:p w14:paraId="7418D2CA" w14:textId="0467850C" w:rsidR="007B66A5" w:rsidRPr="007B66A5" w:rsidRDefault="004F531E" w:rsidP="007B66A5">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w:t>
      </w:r>
      <w:r w:rsidR="00382F8A">
        <w:rPr>
          <w:rFonts w:ascii="Arial Narrow" w:hAnsi="Arial Narrow" w:cs="Tahoma"/>
          <w:sz w:val="22"/>
        </w:rPr>
        <w:t xml:space="preserve">chádzač </w:t>
      </w:r>
      <w:r w:rsidR="007B66A5" w:rsidRPr="007B66A5">
        <w:rPr>
          <w:rFonts w:ascii="Arial Narrow" w:hAnsi="Arial Narrow" w:cs="Tahoma"/>
          <w:sz w:val="22"/>
        </w:rPr>
        <w:t xml:space="preserve">môže predbežne nahradiť doklady na preukázanie splnenia podmienok účasti jednotným európskym dokumentom podľa § 39 ods. 1 zákona. </w:t>
      </w:r>
    </w:p>
    <w:p w14:paraId="775B777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B02A8E3" w14:textId="023A802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Preukazovanie podmienok účasti je voči verejnému obstarávateľovi účinné aj spôsobom podľa § 152 ods. 4 zákona</w:t>
      </w:r>
      <w:r w:rsidR="006308B1">
        <w:rPr>
          <w:rFonts w:ascii="Arial Narrow" w:hAnsi="Arial Narrow" w:cs="Tahoma"/>
          <w:sz w:val="22"/>
        </w:rPr>
        <w:t xml:space="preserve"> – prostredníctvom zápisu do zoznamu hospodárskych subjektov</w:t>
      </w:r>
      <w:r w:rsidRPr="007B66A5">
        <w:rPr>
          <w:rFonts w:ascii="Arial Narrow" w:hAnsi="Arial Narrow" w:cs="Tahoma"/>
          <w:sz w:val="22"/>
        </w:rPr>
        <w:t xml:space="preserve">. Uchádzač zapísaný v zozname hospodárskych subjektov podľa zákona nie je povinný v procese verejného obstarávania predkladať doklady podľa § 32 ods. 2 zákona. </w:t>
      </w:r>
    </w:p>
    <w:p w14:paraId="0015B6CE"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5C12A20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DDB770"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41D3183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 prípade, že sa verejného obstarávania zúčastní skupina dodávateľov, požaduje sa preukázanie splnenia podmienok účasti týkajúcich sa osobného postavenia za každého člena skupiny osobitne. Splnenie podmienky </w:t>
      </w:r>
      <w:r w:rsidRPr="007B66A5">
        <w:rPr>
          <w:rFonts w:ascii="Arial Narrow" w:hAnsi="Arial Narrow" w:cs="Tahoma"/>
          <w:sz w:val="22"/>
        </w:rPr>
        <w:lastRenderedPageBreak/>
        <w:t>účasti podľa § 32 ods. 1 písm. e) zákona preukazuje člen skupiny len vo vzťahu k tej časti predmetu zákazky, ktorú má zabezpečiť.</w:t>
      </w:r>
    </w:p>
    <w:p w14:paraId="6DC02F4A" w14:textId="13CBC337" w:rsidR="00DF3C77" w:rsidRDefault="00DF3C77" w:rsidP="00DF3C77">
      <w:pPr>
        <w:spacing w:after="0" w:line="240" w:lineRule="auto"/>
        <w:jc w:val="both"/>
        <w:rPr>
          <w:rFonts w:ascii="Arial Narrow" w:hAnsi="Arial Narrow"/>
          <w:b/>
          <w:sz w:val="22"/>
        </w:rPr>
      </w:pPr>
    </w:p>
    <w:p w14:paraId="0C04D327"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1DE6B7AF" w14:textId="7A372B22" w:rsidR="00DF3C77" w:rsidRPr="00DF3C77" w:rsidRDefault="00DF3C77" w:rsidP="00DF3C77">
      <w:pPr>
        <w:autoSpaceDE w:val="0"/>
        <w:autoSpaceDN w:val="0"/>
        <w:adjustRightInd w:val="0"/>
        <w:spacing w:after="0" w:line="240" w:lineRule="auto"/>
        <w:jc w:val="both"/>
        <w:rPr>
          <w:rFonts w:ascii="Arial Narrow" w:hAnsi="Arial Narrow" w:cs="Tahoma"/>
          <w:sz w:val="22"/>
        </w:rPr>
      </w:pPr>
      <w:r w:rsidRPr="00DF3C77">
        <w:rPr>
          <w:rFonts w:ascii="Arial Narrow" w:hAnsi="Arial Narrow" w:cs="Tahoma"/>
          <w:sz w:val="22"/>
        </w:rPr>
        <w:t xml:space="preserve">V prípade, že sa verejného obstarávania zúčastní skupina dodávateľov, skupina preukazuje splnenie podmienok účasti vo verejnom obstarávaní týkajúcich sa osobného postavenia za každého člena skupiny osobitne </w:t>
      </w:r>
    </w:p>
    <w:p w14:paraId="1B259481" w14:textId="77777777" w:rsidR="00DF3C77" w:rsidRPr="00DF3C77" w:rsidRDefault="00DF3C77" w:rsidP="00DF3C77">
      <w:pPr>
        <w:autoSpaceDE w:val="0"/>
        <w:autoSpaceDN w:val="0"/>
        <w:adjustRightInd w:val="0"/>
        <w:spacing w:after="0" w:line="240" w:lineRule="auto"/>
        <w:jc w:val="both"/>
        <w:rPr>
          <w:rFonts w:ascii="Arial Narrow" w:hAnsi="Arial Narrow" w:cs="Tahoma"/>
          <w:sz w:val="22"/>
        </w:rPr>
      </w:pPr>
    </w:p>
    <w:p w14:paraId="0BBED542" w14:textId="1FB1A2AA" w:rsidR="00DF3C77" w:rsidRDefault="004F531E" w:rsidP="00DF3C77">
      <w:pPr>
        <w:autoSpaceDE w:val="0"/>
        <w:autoSpaceDN w:val="0"/>
        <w:adjustRightInd w:val="0"/>
        <w:spacing w:after="0" w:line="240" w:lineRule="auto"/>
        <w:jc w:val="both"/>
        <w:rPr>
          <w:rFonts w:ascii="Arial Narrow" w:hAnsi="Arial Narrow" w:cs="Tahoma"/>
          <w:sz w:val="22"/>
        </w:rPr>
      </w:pPr>
      <w:r>
        <w:rPr>
          <w:rFonts w:ascii="Arial Narrow" w:hAnsi="Arial Narrow" w:cs="Tahoma"/>
          <w:sz w:val="22"/>
        </w:rPr>
        <w:t>Uchádzač</w:t>
      </w:r>
      <w:r w:rsidR="00DF3C77" w:rsidRPr="00DF3C77">
        <w:rPr>
          <w:rFonts w:ascii="Arial Narrow" w:hAnsi="Arial Narrow" w:cs="Tahoma"/>
          <w:sz w:val="22"/>
        </w:rPr>
        <w:t xml:space="preserve"> môže predbežne nahradiť doklady na preukázanie splnenia podmienok účasti jednotným európskym dokumentom podľa § 39 ods. 1 zákona.</w:t>
      </w:r>
      <w:bookmarkStart w:id="0" w:name="_GoBack"/>
      <w:bookmarkEnd w:id="0"/>
    </w:p>
    <w:p w14:paraId="7CBA164A" w14:textId="09F6207A" w:rsidR="009E3929" w:rsidRDefault="009E3929" w:rsidP="00DF3C77">
      <w:pPr>
        <w:autoSpaceDE w:val="0"/>
        <w:autoSpaceDN w:val="0"/>
        <w:adjustRightInd w:val="0"/>
        <w:spacing w:after="0" w:line="240" w:lineRule="auto"/>
        <w:jc w:val="both"/>
        <w:rPr>
          <w:rFonts w:ascii="Arial Narrow" w:hAnsi="Arial Narrow" w:cs="Tahoma"/>
          <w:sz w:val="22"/>
        </w:rPr>
      </w:pPr>
    </w:p>
    <w:p w14:paraId="4248AB15" w14:textId="77777777" w:rsidR="009E3929" w:rsidRPr="00DF3C77" w:rsidRDefault="009E3929" w:rsidP="00DF3C77">
      <w:pPr>
        <w:autoSpaceDE w:val="0"/>
        <w:autoSpaceDN w:val="0"/>
        <w:adjustRightInd w:val="0"/>
        <w:spacing w:after="0" w:line="240" w:lineRule="auto"/>
        <w:jc w:val="both"/>
        <w:rPr>
          <w:rFonts w:ascii="Arial Narrow" w:hAnsi="Arial Narrow" w:cs="Tahoma"/>
          <w:sz w:val="22"/>
        </w:rPr>
      </w:pPr>
    </w:p>
    <w:p w14:paraId="330807E3" w14:textId="77777777" w:rsidR="00DF3C77" w:rsidRPr="00DF3C77" w:rsidRDefault="00DF3C77" w:rsidP="007B66A5">
      <w:pPr>
        <w:autoSpaceDE w:val="0"/>
        <w:autoSpaceDN w:val="0"/>
        <w:adjustRightInd w:val="0"/>
        <w:spacing w:after="0" w:line="240" w:lineRule="auto"/>
        <w:jc w:val="both"/>
        <w:rPr>
          <w:rFonts w:ascii="Arial Narrow" w:hAnsi="Arial Narrow" w:cs="Tahoma"/>
          <w:sz w:val="22"/>
        </w:rPr>
      </w:pPr>
    </w:p>
    <w:p w14:paraId="5623712C" w14:textId="77777777" w:rsidR="00C15837" w:rsidRDefault="00C15837" w:rsidP="008812C1">
      <w:pPr>
        <w:jc w:val="center"/>
        <w:rPr>
          <w:rFonts w:ascii="Arial Narrow" w:hAnsi="Arial Narrow"/>
          <w:sz w:val="22"/>
        </w:rPr>
      </w:pPr>
    </w:p>
    <w:sectPr w:rsidR="00C15837" w:rsidSect="00A1003E">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91138" w16cex:dateUtc="2020-11-13T13:05:00Z"/>
  <w16cex:commentExtensible w16cex:durableId="23591159" w16cex:dateUtc="2020-11-1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442C35" w16cid:durableId="23591138"/>
  <w16cid:commentId w16cid:paraId="22D3F81D" w16cid:durableId="235911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0B57" w14:textId="77777777" w:rsidR="000C68DC" w:rsidRDefault="000C68DC" w:rsidP="008E5C6C">
      <w:pPr>
        <w:spacing w:after="0" w:line="240" w:lineRule="auto"/>
      </w:pPr>
      <w:r>
        <w:separator/>
      </w:r>
    </w:p>
  </w:endnote>
  <w:endnote w:type="continuationSeparator" w:id="0">
    <w:p w14:paraId="385789D3" w14:textId="77777777" w:rsidR="000C68DC" w:rsidRDefault="000C68DC"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FD05" w14:textId="77777777" w:rsidR="00C15837" w:rsidRDefault="00C15837">
    <w:pPr>
      <w:pStyle w:val="Pta"/>
    </w:pPr>
    <w:r>
      <w:rPr>
        <w:noProof/>
        <w:lang w:eastAsia="sk-SK"/>
      </w:rPr>
      <w:drawing>
        <wp:inline distT="0" distB="0" distL="0" distR="0" wp14:anchorId="3D0C05B2" wp14:editId="11434CCB">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796E" w14:textId="77777777" w:rsidR="000C68DC" w:rsidRDefault="000C68DC" w:rsidP="008E5C6C">
      <w:pPr>
        <w:spacing w:after="0" w:line="240" w:lineRule="auto"/>
      </w:pPr>
      <w:r>
        <w:separator/>
      </w:r>
    </w:p>
  </w:footnote>
  <w:footnote w:type="continuationSeparator" w:id="0">
    <w:p w14:paraId="7CBA1F69" w14:textId="77777777" w:rsidR="000C68DC" w:rsidRDefault="000C68DC"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707F5" w14:textId="77777777"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w:t>
    </w:r>
    <w:r w:rsidR="008129F5">
      <w:rPr>
        <w:rFonts w:ascii="Arial Narrow" w:hAnsi="Arial Narrow"/>
        <w:szCs w:val="20"/>
      </w:rPr>
      <w:t xml:space="preserve"> </w:t>
    </w:r>
    <w:r w:rsidRPr="00E70CD6">
      <w:rPr>
        <w:rFonts w:ascii="Arial Narrow" w:hAnsi="Arial Narrow"/>
        <w:szCs w:val="20"/>
      </w:rPr>
      <w:t>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71713BA2"/>
    <w:multiLevelType w:val="multilevel"/>
    <w:tmpl w:val="25A8034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0"/>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243C6"/>
    <w:rsid w:val="00076DBA"/>
    <w:rsid w:val="000A2C8A"/>
    <w:rsid w:val="000C5887"/>
    <w:rsid w:val="000C68DC"/>
    <w:rsid w:val="000E0B22"/>
    <w:rsid w:val="000E4CF4"/>
    <w:rsid w:val="00123E2F"/>
    <w:rsid w:val="001257F2"/>
    <w:rsid w:val="00185224"/>
    <w:rsid w:val="00187417"/>
    <w:rsid w:val="001B3466"/>
    <w:rsid w:val="001D43DB"/>
    <w:rsid w:val="00256EBF"/>
    <w:rsid w:val="00297ED4"/>
    <w:rsid w:val="002A1995"/>
    <w:rsid w:val="002A4BD7"/>
    <w:rsid w:val="002D1876"/>
    <w:rsid w:val="002D2A7F"/>
    <w:rsid w:val="00300583"/>
    <w:rsid w:val="00316A29"/>
    <w:rsid w:val="00382F8A"/>
    <w:rsid w:val="003954FC"/>
    <w:rsid w:val="003A300F"/>
    <w:rsid w:val="003C337E"/>
    <w:rsid w:val="003D1BF4"/>
    <w:rsid w:val="00402465"/>
    <w:rsid w:val="00402BAB"/>
    <w:rsid w:val="0040403E"/>
    <w:rsid w:val="0040789B"/>
    <w:rsid w:val="00454ECA"/>
    <w:rsid w:val="004725B1"/>
    <w:rsid w:val="0047620A"/>
    <w:rsid w:val="004D2157"/>
    <w:rsid w:val="004D3FCC"/>
    <w:rsid w:val="004D6607"/>
    <w:rsid w:val="004E1DFB"/>
    <w:rsid w:val="004F531E"/>
    <w:rsid w:val="0053024B"/>
    <w:rsid w:val="00540B1A"/>
    <w:rsid w:val="00545055"/>
    <w:rsid w:val="00581E44"/>
    <w:rsid w:val="005871B1"/>
    <w:rsid w:val="00592954"/>
    <w:rsid w:val="005B2586"/>
    <w:rsid w:val="005C28C2"/>
    <w:rsid w:val="005D3998"/>
    <w:rsid w:val="006308B1"/>
    <w:rsid w:val="006439FC"/>
    <w:rsid w:val="00656645"/>
    <w:rsid w:val="006575E4"/>
    <w:rsid w:val="00660D0D"/>
    <w:rsid w:val="0066697F"/>
    <w:rsid w:val="00667827"/>
    <w:rsid w:val="006A5A0E"/>
    <w:rsid w:val="006B2552"/>
    <w:rsid w:val="006B455F"/>
    <w:rsid w:val="006D39C1"/>
    <w:rsid w:val="006F5C6D"/>
    <w:rsid w:val="0070459B"/>
    <w:rsid w:val="007217F2"/>
    <w:rsid w:val="00785D19"/>
    <w:rsid w:val="007B66A5"/>
    <w:rsid w:val="007E0E9B"/>
    <w:rsid w:val="007F3E27"/>
    <w:rsid w:val="007F75CC"/>
    <w:rsid w:val="008129F5"/>
    <w:rsid w:val="00850036"/>
    <w:rsid w:val="008812C1"/>
    <w:rsid w:val="008875D0"/>
    <w:rsid w:val="008E5C6C"/>
    <w:rsid w:val="008F2E4C"/>
    <w:rsid w:val="008F4323"/>
    <w:rsid w:val="009033F9"/>
    <w:rsid w:val="00965B78"/>
    <w:rsid w:val="009E3929"/>
    <w:rsid w:val="009F2EC2"/>
    <w:rsid w:val="00A1003E"/>
    <w:rsid w:val="00A46D20"/>
    <w:rsid w:val="00A5399E"/>
    <w:rsid w:val="00A54A19"/>
    <w:rsid w:val="00A66778"/>
    <w:rsid w:val="00A86DB3"/>
    <w:rsid w:val="00A935EB"/>
    <w:rsid w:val="00AD3CB3"/>
    <w:rsid w:val="00AE5732"/>
    <w:rsid w:val="00AF5FB0"/>
    <w:rsid w:val="00B16BB4"/>
    <w:rsid w:val="00B51D06"/>
    <w:rsid w:val="00BE5FBA"/>
    <w:rsid w:val="00BF097D"/>
    <w:rsid w:val="00BF7178"/>
    <w:rsid w:val="00C03D0F"/>
    <w:rsid w:val="00C14532"/>
    <w:rsid w:val="00C15837"/>
    <w:rsid w:val="00C2284E"/>
    <w:rsid w:val="00C26E92"/>
    <w:rsid w:val="00C71EA0"/>
    <w:rsid w:val="00C93963"/>
    <w:rsid w:val="00C972D4"/>
    <w:rsid w:val="00CB112A"/>
    <w:rsid w:val="00CD3EF7"/>
    <w:rsid w:val="00CD53AF"/>
    <w:rsid w:val="00CF675B"/>
    <w:rsid w:val="00D043B3"/>
    <w:rsid w:val="00D05717"/>
    <w:rsid w:val="00D0783C"/>
    <w:rsid w:val="00D36EF8"/>
    <w:rsid w:val="00D675DE"/>
    <w:rsid w:val="00D80789"/>
    <w:rsid w:val="00DA7A68"/>
    <w:rsid w:val="00DD30A4"/>
    <w:rsid w:val="00DD6CBD"/>
    <w:rsid w:val="00DF3C77"/>
    <w:rsid w:val="00E53BC2"/>
    <w:rsid w:val="00E70CD6"/>
    <w:rsid w:val="00EE2B73"/>
    <w:rsid w:val="00EF5E3C"/>
    <w:rsid w:val="00EF7AA5"/>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57CB"/>
  <w15:docId w15:val="{23643199-454E-4AE2-9FF1-34FFFED0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1175</Words>
  <Characters>6698</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Tomáš Kundrát</cp:lastModifiedBy>
  <cp:revision>14</cp:revision>
  <dcterms:created xsi:type="dcterms:W3CDTF">2020-11-13T12:55:00Z</dcterms:created>
  <dcterms:modified xsi:type="dcterms:W3CDTF">2021-08-23T13:25:00Z</dcterms:modified>
</cp:coreProperties>
</file>