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9E" w:rsidRPr="001F32D4" w:rsidRDefault="002C109E" w:rsidP="002C109E">
      <w:pPr>
        <w:tabs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REALIZAČNÁ ZMLUVA</w:t>
      </w:r>
    </w:p>
    <w:p w:rsidR="002C109E" w:rsidRPr="001F32D4" w:rsidRDefault="002C109E" w:rsidP="002C109E">
      <w:pPr>
        <w:tabs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k</w:t>
      </w:r>
    </w:p>
    <w:p w:rsidR="002C109E" w:rsidRPr="001F32D4" w:rsidRDefault="002C109E" w:rsidP="002C109E">
      <w:pPr>
        <w:tabs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Rámcovej dohode </w:t>
      </w:r>
      <w:r w:rsidR="004241E5" w:rsidRPr="001F32D4">
        <w:rPr>
          <w:rFonts w:ascii="Arial Narrow" w:hAnsi="Arial Narrow"/>
          <w:b/>
          <w:sz w:val="22"/>
          <w:szCs w:val="22"/>
        </w:rPr>
        <w:t>č</w:t>
      </w:r>
      <w:r w:rsidR="004241E5"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.: OVO2-2018/000028–</w:t>
      </w:r>
      <w:proofErr w:type="spellStart"/>
      <w:r w:rsidR="004241E5"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xx</w:t>
      </w:r>
      <w:proofErr w:type="spellEnd"/>
    </w:p>
    <w:p w:rsidR="002C109E" w:rsidRPr="001F32D4" w:rsidRDefault="002C109E" w:rsidP="002C109E">
      <w:pPr>
        <w:tabs>
          <w:tab w:val="center" w:pos="4536"/>
          <w:tab w:val="right" w:pos="9072"/>
        </w:tabs>
        <w:spacing w:line="288" w:lineRule="auto"/>
        <w:jc w:val="center"/>
        <w:outlineLvl w:val="0"/>
        <w:rPr>
          <w:rFonts w:ascii="Arial Narrow" w:eastAsia="Calibri" w:hAnsi="Arial Narrow" w:cs="Arial"/>
          <w:bCs/>
          <w:spacing w:val="20"/>
          <w:sz w:val="22"/>
          <w:szCs w:val="22"/>
          <w:lang w:eastAsia="en-US"/>
        </w:rPr>
      </w:pP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uzatvorená podľa § 269 ods. 2 zákona č. 513/1991 Zb. Obchodný zákonník v znení neskorších predpisov (ďalej len „</w:t>
      </w: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Realizačná zmluva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medzi zmluvnými stranami: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................................... 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so sídlom ...................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IČO: .......................... 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Zapísaný.....................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v mene ktorého koná ....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(ďalej len „</w:t>
      </w: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Poskytovateľ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a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................................... 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so sídlom ...................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IČO: .......................... 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Zapísaný.....................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v mene ktorého koná ....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(ďalej len „</w:t>
      </w: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Objednávateľ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(Poskytovateľ a Prijímateľ ďalej spoločne len ako „</w:t>
      </w: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Zmluvné strany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:rsidR="002C109E" w:rsidRPr="006A55FC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br w:type="page"/>
      </w:r>
      <w:r w:rsidR="006A55FC" w:rsidRPr="006A55FC">
        <w:rPr>
          <w:rFonts w:ascii="Arial Narrow" w:eastAsia="Calibri" w:hAnsi="Arial Narrow" w:cs="Arial"/>
          <w:b/>
          <w:sz w:val="22"/>
          <w:szCs w:val="22"/>
          <w:lang w:eastAsia="en-US"/>
        </w:rPr>
        <w:lastRenderedPageBreak/>
        <w:t>ÚVODNÉ USTANOVENIA</w:t>
      </w:r>
    </w:p>
    <w:p w:rsidR="002C109E" w:rsidRPr="001F32D4" w:rsidRDefault="002C109E" w:rsidP="002C109E">
      <w:pPr>
        <w:spacing w:before="100" w:after="100" w:line="288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(A)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Objednávateľ postupom verejnej súťaže, v súlade s príslušnými ustanoveniami</w:t>
      </w:r>
      <w:r w:rsidRPr="001F32D4">
        <w:rPr>
          <w:rFonts w:ascii="Arial Narrow" w:hAnsi="Arial Narrow" w:cs="Arial"/>
          <w:sz w:val="22"/>
          <w:szCs w:val="22"/>
        </w:rPr>
        <w:t xml:space="preserve"> zákona </w:t>
      </w:r>
      <w:r w:rsidRPr="001F32D4">
        <w:rPr>
          <w:rFonts w:ascii="Arial Narrow" w:hAnsi="Arial Narrow" w:cs="Arial"/>
          <w:sz w:val="22"/>
          <w:szCs w:val="22"/>
        </w:rPr>
        <w:br/>
        <w:t xml:space="preserve">č. </w:t>
      </w:r>
      <w:r w:rsidRPr="001F32D4">
        <w:rPr>
          <w:rFonts w:ascii="Arial Narrow" w:hAnsi="Arial Narrow" w:cs="Arial Narrow"/>
          <w:b/>
          <w:bCs/>
          <w:sz w:val="22"/>
          <w:szCs w:val="22"/>
        </w:rPr>
        <w:t>343/2015 Z .z. o verejnom obstarávaní a o zmene a doplnení niektorých zákonov v znení neskorších predpisov (ďalej len „zákon č. 343/2015 Z.z.“)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, zrealizoval výber Poskytovateľa 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súvisiacich s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 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nákupom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,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dodávkou 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a distribúciou </w:t>
      </w:r>
      <w:r w:rsidRPr="001F32D4">
        <w:rPr>
          <w:rFonts w:ascii="Arial Narrow" w:eastAsia="Calibri" w:hAnsi="Arial Narrow" w:cs="Arial"/>
          <w:sz w:val="22"/>
          <w:szCs w:val="22"/>
        </w:rPr>
        <w:t>elektriny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. </w:t>
      </w:r>
    </w:p>
    <w:p w:rsidR="002C109E" w:rsidRPr="001F32D4" w:rsidRDefault="002C109E" w:rsidP="002C109E">
      <w:pPr>
        <w:spacing w:before="100" w:after="100" w:line="288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(B)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Poskytovateľ sa ako uchádzač zúčastnil Verejného obstarávania. Na základe jeho ponuky bol Poskytovateľ označený za úspešného uchádzača a</w:t>
      </w:r>
      <w:r w:rsidR="00865F78">
        <w:rPr>
          <w:rFonts w:ascii="Arial Narrow" w:eastAsia="Calibri" w:hAnsi="Arial Narrow" w:cs="Arial"/>
          <w:sz w:val="22"/>
          <w:szCs w:val="22"/>
          <w:lang w:eastAsia="en-US"/>
        </w:rPr>
        <w:t xml:space="preserve"> Ministerstvo vnútra Slovenskej republiky ako centrálna obstarávacia organizácia   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s ním uzatvoril dňa .................... Rámcovú dohodu (ďalej len „</w:t>
      </w: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Dohoda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“), ktorá tvorí Prílohu č. 1 tejto Realizačnej zmluvy.</w:t>
      </w:r>
    </w:p>
    <w:p w:rsidR="002C109E" w:rsidRPr="001F32D4" w:rsidRDefault="002C109E" w:rsidP="002C109E">
      <w:pPr>
        <w:spacing w:before="100" w:after="100" w:line="288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(C)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Na základe </w:t>
      </w:r>
      <w:r w:rsidRPr="001F32D4">
        <w:rPr>
          <w:rFonts w:ascii="Arial Narrow" w:eastAsia="Calibri" w:hAnsi="Arial Narrow" w:cs="Arial"/>
          <w:sz w:val="22"/>
          <w:szCs w:val="22"/>
          <w:lang w:eastAsia="de-DE"/>
        </w:rPr>
        <w:t xml:space="preserve">výsledku 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opätovného otvorenia súťaže podľa § 83 ods. 5 písm. b) zákona bola prijatá ponuka Poskytovateľa.</w:t>
      </w:r>
    </w:p>
    <w:p w:rsidR="002C109E" w:rsidRPr="001F32D4" w:rsidRDefault="002C109E" w:rsidP="002C109E">
      <w:pPr>
        <w:spacing w:before="100" w:after="100" w:line="288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C377C9" w:rsidRPr="001F32D4" w:rsidRDefault="002C109E" w:rsidP="002C109E">
      <w:pPr>
        <w:tabs>
          <w:tab w:val="right" w:pos="2977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1.   </w:t>
      </w:r>
    </w:p>
    <w:p w:rsidR="002C109E" w:rsidRPr="001F32D4" w:rsidRDefault="002C109E" w:rsidP="002C109E">
      <w:pPr>
        <w:tabs>
          <w:tab w:val="right" w:pos="2977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PREDMET ZMLUVY</w:t>
      </w:r>
    </w:p>
    <w:p w:rsidR="002C109E" w:rsidRPr="001F32D4" w:rsidRDefault="002C109E" w:rsidP="002C10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Predmetom tejto Realizačnej zmluvy je úprava práv a povinností Zmluvných strán pri poskytovaní 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súvisiacich s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 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nákupom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,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dodávkou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a distribúciou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elektriny v odberných miestach definovaných v Prílohe č. 2 tejto Realizačnej zmluvy (ďalej len „</w:t>
      </w:r>
      <w:r w:rsidR="007C7606" w:rsidRPr="001F32D4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“).</w:t>
      </w:r>
    </w:p>
    <w:p w:rsidR="002C109E" w:rsidRPr="001F32D4" w:rsidRDefault="002C109E" w:rsidP="002C10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Poskytovateľ sa zaväzuje za podmienok stanovených v tejto Realizačnej zmluve a Dohode poskytovať pre Objednávateľa 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a Objednávateľ sa zaväzuje za riadne a včas poskytnuté 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uhradiť odplatu dohodnutú podľa článku 3 tejto Realizačnej zmluvy.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1.3.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Ak nie je uvedené inak, majú pojmy používané v tejto Realizačnej zmluve význam, tak ako je tento definovaný v Dohode.</w:t>
      </w:r>
    </w:p>
    <w:p w:rsidR="002C109E" w:rsidRPr="001F32D4" w:rsidRDefault="002C109E" w:rsidP="002C109E">
      <w:pPr>
        <w:spacing w:before="100" w:after="100"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C377C9" w:rsidRPr="001F32D4" w:rsidRDefault="002C109E" w:rsidP="002C109E">
      <w:pPr>
        <w:tabs>
          <w:tab w:val="right" w:pos="5103"/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2.   </w:t>
      </w:r>
    </w:p>
    <w:p w:rsidR="002C109E" w:rsidRPr="001F32D4" w:rsidRDefault="002C109E" w:rsidP="002C109E">
      <w:pPr>
        <w:tabs>
          <w:tab w:val="right" w:pos="5103"/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PRÁVA A POVINNOSTI ZMLUVNÝCH STRÁN</w:t>
      </w:r>
    </w:p>
    <w:p w:rsidR="002C109E" w:rsidRPr="001F32D4" w:rsidRDefault="002C109E" w:rsidP="002C109E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Všetky 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je Poskytovateľ povinný realizovať riadne a včas a v súlade s ustanoveniami tejto Realizačnej zmluvy a Dohody.</w:t>
      </w:r>
    </w:p>
    <w:p w:rsidR="002C109E" w:rsidRPr="001F32D4" w:rsidRDefault="002C109E" w:rsidP="002C109E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Objednávateľ menuje osobu zodpovednú za kontrolu realizácie a preberanie plnení, a to .... (doplniť)</w:t>
      </w:r>
    </w:p>
    <w:p w:rsidR="008D6BF4" w:rsidRPr="001F32D4" w:rsidRDefault="002C109E" w:rsidP="008D6BF4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Na vyžiadanie sa Poskytovateľ zaväzuje v primeranej lehote poskytnúť Objednávateľovi všetky informácie a podklady za účelom kontroly realizácie plnenia tejto Realizačnej zmluvy. 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br/>
        <w:t>S informáciami a podkladmi označenými Objednávateľom ako obchodné tajomstvo, bude Poskytovateľ zaobchádzať ako s dôvernými informáciami.</w:t>
      </w:r>
      <w:r w:rsidR="008D6BF4"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</w:p>
    <w:p w:rsidR="006A3DD9" w:rsidRPr="001F32D4" w:rsidRDefault="006A3DD9" w:rsidP="008D6BF4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Dodávka elektriny je zabezpečená na základe Prevádzkového poriadku prevádzkovateľa distribučnej sústavy spoločnosti Západoslovenská distribučná, a.s. , Stredoslovenská energetika - Distribúcia, a.s. a Východoslovenská distribučná, a.s. a schválenej s Úradom pre reguláciu sieťových odvetví.</w:t>
      </w:r>
    </w:p>
    <w:p w:rsidR="00D16969" w:rsidRPr="001F32D4" w:rsidRDefault="00D16969" w:rsidP="00D16969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hAnsi="Arial Narrow"/>
          <w:sz w:val="22"/>
          <w:szCs w:val="22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 zmluve tým, že cena sa nemení. V takomto prípade sa doplní odberné miesto do zoznamu a upraví predpokladané zmluvné množstvo predmetu zmluvy, formou dodatku k</w:t>
      </w:r>
      <w:r w:rsidR="00D516B1" w:rsidRPr="001F32D4">
        <w:rPr>
          <w:rFonts w:ascii="Arial Narrow" w:hAnsi="Arial Narrow"/>
          <w:sz w:val="22"/>
          <w:szCs w:val="22"/>
        </w:rPr>
        <w:t> </w:t>
      </w:r>
      <w:r w:rsidRPr="001F32D4">
        <w:rPr>
          <w:rFonts w:ascii="Arial Narrow" w:hAnsi="Arial Narrow"/>
          <w:sz w:val="22"/>
          <w:szCs w:val="22"/>
        </w:rPr>
        <w:t>zmluve</w:t>
      </w:r>
      <w:r w:rsidR="00D516B1" w:rsidRPr="001F32D4">
        <w:rPr>
          <w:rFonts w:ascii="Arial Narrow" w:hAnsi="Arial Narrow"/>
          <w:sz w:val="22"/>
          <w:szCs w:val="22"/>
        </w:rPr>
        <w:t>.</w:t>
      </w:r>
    </w:p>
    <w:p w:rsidR="002C109E" w:rsidRPr="001F32D4" w:rsidRDefault="002C109E" w:rsidP="002C109E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lastRenderedPageBreak/>
        <w:t xml:space="preserve">Poskytovateľ je povinný riadne plniť predmet tejto Realizačnej zmluvy, dodržiavať túto Realizačnú zmluvu a štandardy kvality prenosu elektriny, distribúcie elektriny a dodávky elektriny stanovené osobitnými predpismi a tieto náležite vyhodnocovať. </w:t>
      </w:r>
    </w:p>
    <w:p w:rsidR="002C109E" w:rsidRPr="001F32D4" w:rsidRDefault="002C109E" w:rsidP="002C109E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Ak nie je v tejto Realizačnej zmluve uvedené inak, sú pre Zmluvné strany záväzné práva a povinnosti podľa Dohody.</w:t>
      </w:r>
    </w:p>
    <w:p w:rsidR="00C377C9" w:rsidRPr="001F32D4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3.   </w:t>
      </w:r>
    </w:p>
    <w:p w:rsidR="002C109E" w:rsidRPr="001F32D4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ODPLATA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3.1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Za riadne a včas poskytnuté 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v súlade s touto Realizačnou zmluvou zaplatí Objednávateľ Poskytovateľovi Odplatu definovanú v Prílohe č. 3 tejto Realizačnej zmluve.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3.2 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Zmluvné strany sa dohodli, že v súlade s Dohodou, podkladom pre Odplatu podľa tejto Realizačnej zmluvy je predpokladaný objem odberu elektriny v jednotlivých odberných miestach, ktorý oznámil vo výzve na predkladanie ponúk Objednávateľ Poskytovateľovi. Predpokladaný objem odberu elektriny v jednotlivých odberných miestach je uvedený v Prílohe č. 2 tejto Realizačnej zmluvy.</w:t>
      </w:r>
    </w:p>
    <w:p w:rsidR="002C109E" w:rsidRPr="001F32D4" w:rsidRDefault="002C109E" w:rsidP="002C109E">
      <w:pPr>
        <w:spacing w:before="100" w:after="100"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3.3 Spôsob a podmienky fakturácie 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ako aj ďalšie podmienky poskytovania </w:t>
      </w:r>
      <w:r w:rsidR="004241E5" w:rsidRPr="001F32D4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sú 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br/>
        <w:t xml:space="preserve">          uvedené v Prílohe č. 3 tejto Realizačnej zmluvy.</w:t>
      </w:r>
    </w:p>
    <w:p w:rsidR="002C109E" w:rsidRPr="001F32D4" w:rsidRDefault="002C109E" w:rsidP="002C109E">
      <w:pPr>
        <w:spacing w:before="100" w:after="100"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C377C9" w:rsidRPr="001F32D4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4.   </w:t>
      </w:r>
    </w:p>
    <w:p w:rsidR="002C109E" w:rsidRPr="001F32D4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TRVANIE A UKONČENIE ZMLUVY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4.1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Táto Realizačná zmluva sa uzatvára na dobu u</w:t>
      </w:r>
      <w:r w:rsidR="006A55FC">
        <w:rPr>
          <w:rFonts w:ascii="Arial Narrow" w:eastAsia="Calibri" w:hAnsi="Arial Narrow" w:cs="Arial"/>
          <w:sz w:val="22"/>
          <w:szCs w:val="22"/>
          <w:lang w:eastAsia="en-US"/>
        </w:rPr>
        <w:t>rčitú, na obdobie .... mesiacov odo dňa nadobudnutia jej účinnosti.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4.2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Ak nie je uvedené inak na ukončenie tejto Realizačnej zmluvy sa primerane použijú ustanovenia článku 4 bodu 4.16 a 4.17 a článku 8 Dohody.</w:t>
      </w:r>
    </w:p>
    <w:p w:rsidR="00C377C9" w:rsidRPr="001F32D4" w:rsidRDefault="00C377C9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:rsidR="00C377C9" w:rsidRPr="001F32D4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5.   </w:t>
      </w:r>
    </w:p>
    <w:p w:rsidR="002C109E" w:rsidRPr="001F32D4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REKLAMÁCIE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5.1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Ak sa stane chyba pri fakturácii, majú zmluvné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5.2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Objednávateľ má právo reklamovať aj iné chyby, ku ktorým došlo pri plnení Realizačnej zmluvy.</w:t>
      </w:r>
    </w:p>
    <w:p w:rsidR="00C377C9" w:rsidRPr="001F32D4" w:rsidRDefault="002C109E" w:rsidP="00C377C9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5.3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Poskytovateľ reklamáciu prešetrí a výsledok prešetrenia písomne oznámi Objednávateľovi v lehote 15 dní od doručenia reklamácie, pokiaľ zo zákona nevyplýva iná lehota. </w:t>
      </w:r>
    </w:p>
    <w:p w:rsidR="002C109E" w:rsidRPr="001F32D4" w:rsidRDefault="002C109E" w:rsidP="00C377C9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5.4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Objednávateľ si môže uplatniť reklamáciu najmä: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písomne na adrese: ...........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telefonicky na čísle: ................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faxom na čísle:....................</w:t>
      </w:r>
    </w:p>
    <w:p w:rsidR="002C109E" w:rsidRPr="001F32D4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e-mailom:.......................</w:t>
      </w:r>
    </w:p>
    <w:p w:rsidR="00C377C9" w:rsidRPr="001F32D4" w:rsidRDefault="00C377C9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:rsidR="00C377C9" w:rsidRPr="001F32D4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6.   </w:t>
      </w:r>
    </w:p>
    <w:p w:rsidR="002C109E" w:rsidRPr="001F32D4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b/>
          <w:sz w:val="22"/>
          <w:szCs w:val="22"/>
          <w:lang w:eastAsia="en-US"/>
        </w:rPr>
        <w:t>ZÁVEREČNÉ USTANOVENIA</w:t>
      </w:r>
    </w:p>
    <w:p w:rsidR="00C377C9" w:rsidRPr="001F32D4" w:rsidRDefault="00C377C9" w:rsidP="00C377C9">
      <w:p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142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6.1. 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Neoddeliteľnou súčasťou tejto Realizačnej zmluvy sú Príloha č. 1 – Rámcová dohoda, Príloha č. 2 - 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   </w:t>
      </w:r>
      <w:r w:rsidR="002C109E" w:rsidRPr="001F32D4">
        <w:rPr>
          <w:rFonts w:ascii="Arial Narrow" w:eastAsia="Calibri" w:hAnsi="Arial Narrow" w:cs="Arial"/>
          <w:i/>
          <w:sz w:val="22"/>
          <w:szCs w:val="22"/>
          <w:lang w:eastAsia="en-US"/>
        </w:rPr>
        <w:t>Zoznam odberných miest, predpokladaný objem odberu elektriny, Príloha č. 3 – Odplata, spôsob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a podmienky fakturácie </w:t>
      </w:r>
      <w:r w:rsidR="000F79C5" w:rsidRPr="001F32D4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, ako aj ďalšie podmienky poskytovania </w:t>
      </w:r>
      <w:r w:rsidR="000F79C5" w:rsidRPr="001F32D4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</w:p>
    <w:p w:rsidR="00C377C9" w:rsidRPr="001F32D4" w:rsidRDefault="00C377C9" w:rsidP="00C377C9">
      <w:p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142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6.2. 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Ak sa niektoré z ustanovení tejto Realizačnej zmluvy stane nevynútiteľným alebo neplatným podľa 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 </w:t>
      </w:r>
      <w:r w:rsidR="006A55FC">
        <w:rPr>
          <w:rFonts w:ascii="Arial Narrow" w:eastAsia="Calibri" w:hAnsi="Arial Narrow" w:cs="Arial"/>
          <w:sz w:val="22"/>
          <w:szCs w:val="22"/>
          <w:lang w:eastAsia="en-US"/>
        </w:rPr>
        <w:t>všeobecne záväzných právnych predpisov platných na území SR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>, bude toto ustanovenie neúčinné len do tej miery, do akej je nevynútiteľné či neplatné. Ďalšie ustanovenia tejto Realizačnej zmluvy ostávajú naďalej záväzné a v plnej platnosti a účinnosti. Pokiaľ nastane takáto situácia, Zmluvné strany nahradia toto nevynútiteľné či neplatné ustanovenie iným ustanovením, ktoré sa mu svojím obsahom a účelom bude čo najviac približovať.</w:t>
      </w:r>
    </w:p>
    <w:p w:rsidR="00C377C9" w:rsidRPr="001F32D4" w:rsidRDefault="00C377C9" w:rsidP="00C377C9">
      <w:p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142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6.3. 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>Táto Realizačná zmluva je vyhotovená v</w:t>
      </w:r>
      <w:r w:rsidR="006A55FC">
        <w:rPr>
          <w:rFonts w:ascii="Arial Narrow" w:eastAsia="Calibri" w:hAnsi="Arial Narrow" w:cs="Arial"/>
          <w:sz w:val="22"/>
          <w:szCs w:val="22"/>
          <w:lang w:eastAsia="en-US"/>
        </w:rPr>
        <w:t> 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>piatich</w:t>
      </w:r>
      <w:r w:rsidR="006A55FC">
        <w:rPr>
          <w:rFonts w:ascii="Arial Narrow" w:eastAsia="Calibri" w:hAnsi="Arial Narrow" w:cs="Arial"/>
          <w:sz w:val="22"/>
          <w:szCs w:val="22"/>
          <w:lang w:eastAsia="en-US"/>
        </w:rPr>
        <w:t xml:space="preserve"> (5)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rovnopisoch v slovenskom jazyku, z ktorých každý je považovaný za originál. Dve</w:t>
      </w:r>
      <w:r w:rsidR="006A55FC">
        <w:rPr>
          <w:rFonts w:ascii="Arial Narrow" w:eastAsia="Calibri" w:hAnsi="Arial Narrow" w:cs="Arial"/>
          <w:sz w:val="22"/>
          <w:szCs w:val="22"/>
          <w:lang w:eastAsia="en-US"/>
        </w:rPr>
        <w:t xml:space="preserve"> (2)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 vyhotovenia Realizačnej zmluvy dostane Poskytovateľ 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br/>
        <w:t xml:space="preserve">a tri </w:t>
      </w:r>
      <w:r w:rsidR="006A55FC">
        <w:rPr>
          <w:rFonts w:ascii="Arial Narrow" w:eastAsia="Calibri" w:hAnsi="Arial Narrow" w:cs="Arial"/>
          <w:sz w:val="22"/>
          <w:szCs w:val="22"/>
          <w:lang w:eastAsia="en-US"/>
        </w:rPr>
        <w:t xml:space="preserve">(3) </w:t>
      </w:r>
      <w:bookmarkStart w:id="0" w:name="_GoBack"/>
      <w:bookmarkEnd w:id="0"/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>vyhotovenia dostane Objednávateľ.</w:t>
      </w:r>
    </w:p>
    <w:p w:rsidR="00C377C9" w:rsidRPr="001F32D4" w:rsidRDefault="00C377C9" w:rsidP="00C377C9">
      <w:p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142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6.4. 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>Žiadna zo Zmluvných strán nie je oprávnená postúpiť túto Realizačnú zmluvu ako celok alebo akúkoľvek jej časť bez predchádzajúceho písomného súhlasu druhej Zmluvnej strany.</w:t>
      </w:r>
    </w:p>
    <w:p w:rsidR="00C377C9" w:rsidRPr="001F32D4" w:rsidRDefault="00C377C9" w:rsidP="00C377C9">
      <w:p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142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6.5. 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>Zmluvné strany vyhlasujú, že sú oprávnené s predmetom Realizačnej zmluvy nakladať, zmluvné prejavy sú im dostatočne zrozumiteľné a určité, ich zmluvná voľnosť nie je ničím obmedzená a právny úkon je urobený v predpísanej forme, na znak čoho túto Realizačnú zmluvu podpísali.</w:t>
      </w:r>
    </w:p>
    <w:p w:rsidR="002C109E" w:rsidRPr="001F32D4" w:rsidRDefault="00C377C9" w:rsidP="00C377C9">
      <w:p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142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 xml:space="preserve">6.6. </w:t>
      </w:r>
      <w:r w:rsidR="002C109E" w:rsidRPr="001F32D4">
        <w:rPr>
          <w:rFonts w:ascii="Arial Narrow" w:eastAsia="Calibri" w:hAnsi="Arial Narrow" w:cs="Arial"/>
          <w:sz w:val="22"/>
          <w:szCs w:val="22"/>
          <w:lang w:eastAsia="en-US"/>
        </w:rPr>
        <w:t>Táto Realizačná zmluva nadobúda platnosť dňom jej podpísania oboma Zmluvnými stranami a účinnosť dňom nasledujúcim po dni jej zverejnenia v Centrálnom registri zmlúv vedenom Úradom vlády Slovenskej republiky. Zverejnenie zabezpečí Objednávateľ.</w:t>
      </w:r>
    </w:p>
    <w:p w:rsidR="002C109E" w:rsidRPr="001F32D4" w:rsidRDefault="002C109E" w:rsidP="002C109E">
      <w:pPr>
        <w:spacing w:before="100" w:after="100"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V ........................., dňa .........................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V ........................., dňa .................</w:t>
      </w:r>
    </w:p>
    <w:p w:rsidR="002C109E" w:rsidRPr="001F32D4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1F32D4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V mene Objednávateľa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V mene Poskytovateľa</w:t>
      </w:r>
    </w:p>
    <w:p w:rsidR="002C109E" w:rsidRPr="001F32D4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[názov]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[obchodné meno, názov]</w:t>
      </w:r>
    </w:p>
    <w:p w:rsidR="002C109E" w:rsidRPr="0054560F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>[meno, funkcia]</w:t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1F32D4">
        <w:rPr>
          <w:rFonts w:ascii="Arial Narrow" w:eastAsia="Calibri" w:hAnsi="Arial Narrow" w:cs="Arial"/>
          <w:sz w:val="22"/>
          <w:szCs w:val="22"/>
          <w:lang w:eastAsia="en-US"/>
        </w:rPr>
        <w:tab/>
        <w:t>[meno, funkcia]</w:t>
      </w:r>
    </w:p>
    <w:p w:rsidR="002C109E" w:rsidRPr="0054560F" w:rsidRDefault="002C109E" w:rsidP="002C109E">
      <w:pPr>
        <w:spacing w:line="288" w:lineRule="auto"/>
        <w:jc w:val="both"/>
        <w:rPr>
          <w:rFonts w:ascii="Arial Narrow" w:hAnsi="Arial Narrow" w:cs="Arial"/>
          <w:b/>
          <w:smallCaps/>
          <w:sz w:val="22"/>
          <w:szCs w:val="22"/>
        </w:rPr>
      </w:pPr>
    </w:p>
    <w:p w:rsidR="002C109E" w:rsidRPr="0054560F" w:rsidRDefault="002C109E" w:rsidP="002C109E">
      <w:pPr>
        <w:spacing w:line="288" w:lineRule="auto"/>
        <w:jc w:val="both"/>
        <w:rPr>
          <w:rFonts w:ascii="Arial Narrow" w:hAnsi="Arial Narrow" w:cs="Arial"/>
          <w:b/>
          <w:smallCaps/>
          <w:sz w:val="22"/>
          <w:szCs w:val="22"/>
        </w:rPr>
      </w:pPr>
    </w:p>
    <w:p w:rsidR="002C109E" w:rsidRPr="0054560F" w:rsidRDefault="002C109E" w:rsidP="002C109E">
      <w:pPr>
        <w:rPr>
          <w:rFonts w:ascii="Arial Narrow" w:hAnsi="Arial Narrow"/>
          <w:sz w:val="22"/>
          <w:szCs w:val="22"/>
        </w:rPr>
      </w:pPr>
    </w:p>
    <w:p w:rsidR="00287798" w:rsidRPr="0054560F" w:rsidRDefault="00287798" w:rsidP="008679C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sectPr w:rsidR="00287798" w:rsidRPr="0054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C387D"/>
    <w:multiLevelType w:val="hybridMultilevel"/>
    <w:tmpl w:val="B6A20D40"/>
    <w:lvl w:ilvl="0" w:tplc="EEE6A650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9E"/>
    <w:rsid w:val="000F4944"/>
    <w:rsid w:val="000F79C5"/>
    <w:rsid w:val="001F32D4"/>
    <w:rsid w:val="00287798"/>
    <w:rsid w:val="002C109E"/>
    <w:rsid w:val="004241E5"/>
    <w:rsid w:val="0054560F"/>
    <w:rsid w:val="00570CD4"/>
    <w:rsid w:val="005E5626"/>
    <w:rsid w:val="006A3DD9"/>
    <w:rsid w:val="006A55FC"/>
    <w:rsid w:val="007C7606"/>
    <w:rsid w:val="00865F78"/>
    <w:rsid w:val="008679C9"/>
    <w:rsid w:val="008B34E2"/>
    <w:rsid w:val="008D6BF4"/>
    <w:rsid w:val="00AA3207"/>
    <w:rsid w:val="00C377C9"/>
    <w:rsid w:val="00D16969"/>
    <w:rsid w:val="00D516B1"/>
    <w:rsid w:val="00E5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109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C109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2C109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9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69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109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C109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2C109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9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69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13</cp:revision>
  <cp:lastPrinted>2018-06-06T08:01:00Z</cp:lastPrinted>
  <dcterms:created xsi:type="dcterms:W3CDTF">2018-05-30T08:22:00Z</dcterms:created>
  <dcterms:modified xsi:type="dcterms:W3CDTF">2018-06-13T09:24:00Z</dcterms:modified>
</cp:coreProperties>
</file>