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6B113" w14:textId="77777777" w:rsidR="00593C06" w:rsidRDefault="00593C06" w:rsidP="007651FE">
      <w:pPr>
        <w:spacing w:after="0" w:line="240" w:lineRule="auto"/>
        <w:jc w:val="both"/>
        <w:rPr>
          <w:rFonts w:ascii="Arial Narrow" w:hAnsi="Arial Narrow"/>
          <w:b/>
        </w:rPr>
      </w:pPr>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36183B" w14:textId="77777777" w:rsidR="008831EC" w:rsidRPr="00132691" w:rsidRDefault="008831EC" w:rsidP="008831EC">
      <w:pPr>
        <w:pStyle w:val="Odsekzoznamu"/>
        <w:numPr>
          <w:ilvl w:val="0"/>
          <w:numId w:val="16"/>
        </w:numPr>
        <w:spacing w:after="0"/>
        <w:ind w:left="284" w:hanging="284"/>
        <w:contextualSpacing w:val="0"/>
        <w:jc w:val="both"/>
        <w:rPr>
          <w:rFonts w:ascii="Arial Narrow" w:eastAsia="Arial" w:hAnsi="Arial Narrow"/>
          <w:b/>
          <w:u w:val="single"/>
        </w:rPr>
      </w:pPr>
      <w:r w:rsidRPr="00F8423D">
        <w:rPr>
          <w:rFonts w:ascii="Arial Narrow" w:eastAsia="Arial" w:hAnsi="Arial Narrow"/>
          <w:b/>
          <w:u w:val="single"/>
        </w:rPr>
        <w:t xml:space="preserve">Osobné </w:t>
      </w:r>
      <w:r w:rsidRPr="00132691">
        <w:rPr>
          <w:rFonts w:ascii="Arial Narrow" w:eastAsia="Arial" w:hAnsi="Arial Narrow"/>
          <w:b/>
          <w:u w:val="single"/>
        </w:rPr>
        <w:t>postavenie</w:t>
      </w:r>
      <w:r w:rsidRPr="008831EC">
        <w:rPr>
          <w:rFonts w:ascii="Arial Narrow" w:eastAsia="Arial" w:hAnsi="Arial Narrow"/>
          <w:b/>
        </w:rPr>
        <w:t xml:space="preserve"> podľa §</w:t>
      </w:r>
      <w:r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614C5172" w14:textId="21D5C450" w:rsidR="008831EC" w:rsidRPr="000523E2" w:rsidRDefault="008831EC" w:rsidP="008831EC">
      <w:pPr>
        <w:spacing w:after="0" w:line="276" w:lineRule="auto"/>
        <w:ind w:firstLine="284"/>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47DD5D3A" w14:textId="21D5C450" w:rsidR="008831EC" w:rsidRPr="007B469F" w:rsidRDefault="008831EC" w:rsidP="008831EC">
      <w:pPr>
        <w:pStyle w:val="Odsekzoznamu"/>
        <w:spacing w:after="0"/>
        <w:ind w:left="709" w:hanging="425"/>
        <w:contextualSpacing w:val="0"/>
        <w:jc w:val="both"/>
        <w:rPr>
          <w:rFonts w:ascii="Arial Narrow" w:eastAsia="Arial" w:hAnsi="Arial Narrow"/>
        </w:rPr>
      </w:pPr>
      <w:r>
        <w:rPr>
          <w:rFonts w:ascii="Arial Narrow" w:eastAsia="Arial" w:hAnsi="Arial Narrow"/>
        </w:rPr>
        <w:t>A)</w:t>
      </w:r>
      <w:r>
        <w:rPr>
          <w:rFonts w:ascii="Arial Narrow" w:eastAsia="Arial" w:hAnsi="Arial Narrow"/>
        </w:rPr>
        <w:tab/>
      </w: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124E599B" w14:textId="4B94C8AB" w:rsidR="008831EC" w:rsidRPr="00D074B5" w:rsidRDefault="008831EC" w:rsidP="008831EC">
      <w:pPr>
        <w:pStyle w:val="Odsekzoznamu"/>
        <w:spacing w:after="0"/>
        <w:ind w:left="709" w:hanging="425"/>
        <w:contextualSpacing w:val="0"/>
        <w:jc w:val="both"/>
        <w:rPr>
          <w:rFonts w:ascii="Arial Narrow" w:eastAsia="Arial" w:hAnsi="Arial Narrow"/>
        </w:rPr>
      </w:pPr>
      <w:r w:rsidRPr="00D074B5">
        <w:rPr>
          <w:rFonts w:ascii="Arial Narrow" w:eastAsia="Arial" w:hAnsi="Arial Narrow"/>
        </w:rPr>
        <w:t>B)</w:t>
      </w:r>
      <w:r>
        <w:rPr>
          <w:rFonts w:ascii="Arial Narrow" w:eastAsia="Arial" w:hAnsi="Arial Narrow"/>
        </w:rPr>
        <w:tab/>
      </w:r>
      <w:r w:rsidRPr="00D074B5">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w:t>
      </w:r>
      <w:r>
        <w:rPr>
          <w:rFonts w:ascii="Arial Narrow" w:eastAsia="Arial" w:hAnsi="Arial Narrow"/>
        </w:rPr>
        <w:br/>
      </w:r>
      <w:r w:rsidRPr="00D074B5">
        <w:rPr>
          <w:rFonts w:ascii="Arial Narrow" w:eastAsia="Arial" w:hAnsi="Arial Narrow"/>
        </w:rPr>
        <w:t>v splátkach). </w:t>
      </w:r>
    </w:p>
    <w:p w14:paraId="62D0597C" w14:textId="220F8776" w:rsidR="008831EC" w:rsidRPr="00D074B5" w:rsidRDefault="008831EC" w:rsidP="008831EC">
      <w:pPr>
        <w:pStyle w:val="Odsekzoznamu"/>
        <w:spacing w:after="0"/>
        <w:ind w:left="709" w:hanging="425"/>
        <w:contextualSpacing w:val="0"/>
        <w:jc w:val="both"/>
        <w:rPr>
          <w:rFonts w:ascii="Arial Narrow" w:eastAsia="Arial" w:hAnsi="Arial Narrow"/>
        </w:rPr>
      </w:pPr>
      <w:r w:rsidRPr="00D074B5">
        <w:rPr>
          <w:rFonts w:ascii="Arial Narrow" w:eastAsia="Arial" w:hAnsi="Arial Narrow"/>
        </w:rPr>
        <w:t>C)</w:t>
      </w:r>
      <w:r>
        <w:rPr>
          <w:rFonts w:ascii="Arial Narrow" w:eastAsia="Arial" w:hAnsi="Arial Narrow"/>
        </w:rPr>
        <w:tab/>
      </w:r>
      <w:r w:rsidRPr="00D074B5">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E05E381" w14:textId="675D45B0" w:rsidR="008831EC" w:rsidRDefault="008831EC" w:rsidP="008831EC">
      <w:pPr>
        <w:pStyle w:val="Odsekzoznamu"/>
        <w:spacing w:after="0"/>
        <w:ind w:left="709" w:hanging="425"/>
        <w:contextualSpacing w:val="0"/>
        <w:jc w:val="both"/>
        <w:rPr>
          <w:rFonts w:ascii="Arial Narrow" w:eastAsia="Arial" w:hAnsi="Arial Narrow"/>
        </w:rPr>
      </w:pPr>
      <w:r>
        <w:rPr>
          <w:rFonts w:ascii="Arial Narrow" w:eastAsia="Arial" w:hAnsi="Arial Narrow"/>
        </w:rPr>
        <w:t>D)</w:t>
      </w:r>
      <w:r>
        <w:rPr>
          <w:rFonts w:ascii="Arial Narrow" w:eastAsia="Arial" w:hAnsi="Arial Narrow"/>
        </w:rPr>
        <w:tab/>
      </w: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72F5B68F" w14:textId="20C9D39F" w:rsidR="008831EC" w:rsidRDefault="008831EC" w:rsidP="008831EC">
      <w:pPr>
        <w:pStyle w:val="Odsekzoznamu"/>
        <w:spacing w:after="0"/>
        <w:ind w:left="709" w:hanging="425"/>
        <w:contextualSpacing w:val="0"/>
        <w:jc w:val="both"/>
        <w:rPr>
          <w:rFonts w:ascii="Arial Narrow" w:eastAsia="Arial" w:hAnsi="Arial Narrow"/>
        </w:rPr>
      </w:pPr>
      <w:r>
        <w:rPr>
          <w:rFonts w:ascii="Arial Narrow" w:eastAsia="Arial" w:hAnsi="Arial Narrow"/>
        </w:rPr>
        <w:t>E)</w:t>
      </w:r>
      <w:r>
        <w:rPr>
          <w:rFonts w:ascii="Arial Narrow" w:eastAsia="Arial" w:hAnsi="Arial Narrow"/>
        </w:rPr>
        <w:tab/>
      </w: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xml:space="preserve">. e) </w:t>
      </w:r>
      <w:r>
        <w:rPr>
          <w:rFonts w:ascii="Arial Narrow" w:eastAsia="Arial" w:hAnsi="Arial Narrow"/>
        </w:rPr>
        <w:t xml:space="preserve">zákona </w:t>
      </w:r>
      <w:r w:rsidRPr="000523E2">
        <w:rPr>
          <w:rFonts w:ascii="Arial Narrow" w:eastAsia="Arial" w:hAnsi="Arial Narrow"/>
        </w:rPr>
        <w:t>doloženým dokladom o oprávnení dodávať tovar, uskutočňovať stavebné práce alebo poskytovať službu, ktorý zodpovedá predmetu zákazky.</w:t>
      </w:r>
    </w:p>
    <w:p w14:paraId="57697EF7" w14:textId="10D35E20" w:rsidR="008831EC" w:rsidRDefault="008831EC" w:rsidP="008831EC">
      <w:pPr>
        <w:pStyle w:val="Odsekzoznamu"/>
        <w:spacing w:after="0"/>
        <w:ind w:left="709" w:hanging="425"/>
        <w:contextualSpacing w:val="0"/>
        <w:jc w:val="both"/>
        <w:rPr>
          <w:rFonts w:ascii="Arial Narrow" w:eastAsia="Arial" w:hAnsi="Arial Narrow"/>
        </w:rPr>
      </w:pPr>
      <w:r>
        <w:rPr>
          <w:rFonts w:ascii="Arial Narrow" w:eastAsia="Arial" w:hAnsi="Arial Narrow"/>
        </w:rPr>
        <w:t>F)</w:t>
      </w:r>
      <w:r>
        <w:rPr>
          <w:rFonts w:ascii="Arial Narrow" w:eastAsia="Arial" w:hAnsi="Arial Narrow"/>
        </w:rPr>
        <w:tab/>
        <w:t>p</w:t>
      </w:r>
      <w:r w:rsidRPr="00F8423D">
        <w:rPr>
          <w:rFonts w:ascii="Arial Narrow" w:eastAsia="Arial" w:hAnsi="Arial Narrow"/>
        </w:rPr>
        <w:t xml:space="preserve">odľa § 32 ods. 1 písm. f) zákona, že nemá uložený zákaz účasti vo verejnom obstarávaní potvrdený konečným rozhodnutím v Slovenskej republike alebo v štáte sídla, miesta podnikania alebo obvyklého </w:t>
      </w:r>
      <w:r w:rsidRPr="00F8423D">
        <w:rPr>
          <w:rFonts w:ascii="Arial Narrow" w:eastAsia="Arial" w:hAnsi="Arial Narrow"/>
        </w:rPr>
        <w:lastRenderedPageBreak/>
        <w:t>pobytu. Uvedenú podmienku účasti preukáže uchádzač v súlade s § 32 ods. 2 písm. f) zákona doloženým čestným vyhlásením.</w:t>
      </w:r>
    </w:p>
    <w:p w14:paraId="05389CAE" w14:textId="71160048" w:rsidR="008831EC" w:rsidRPr="00F8423D" w:rsidRDefault="008831EC" w:rsidP="008831EC">
      <w:pPr>
        <w:pStyle w:val="Odsekzoznamu"/>
        <w:spacing w:after="0"/>
        <w:ind w:left="709" w:hanging="425"/>
        <w:contextualSpacing w:val="0"/>
        <w:jc w:val="both"/>
        <w:rPr>
          <w:rFonts w:ascii="Arial Narrow" w:eastAsia="Arial" w:hAnsi="Arial Narrow"/>
        </w:rPr>
      </w:pPr>
      <w:r>
        <w:rPr>
          <w:rFonts w:ascii="Arial Narrow" w:eastAsia="Arial" w:hAnsi="Arial Narrow"/>
        </w:rPr>
        <w:t>G)</w:t>
      </w:r>
      <w:r>
        <w:rPr>
          <w:rFonts w:ascii="Arial Narrow" w:eastAsia="Arial" w:hAnsi="Arial Narrow"/>
        </w:rPr>
        <w:tab/>
      </w: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7DF759B" w14:textId="027143A4" w:rsidR="008831EC" w:rsidRDefault="008831EC" w:rsidP="008831EC">
      <w:pPr>
        <w:spacing w:after="0" w:line="276" w:lineRule="auto"/>
        <w:ind w:left="709" w:hanging="425"/>
        <w:jc w:val="both"/>
        <w:rPr>
          <w:rFonts w:ascii="Arial Narrow" w:eastAsia="Arial" w:hAnsi="Arial Narrow"/>
        </w:rPr>
      </w:pPr>
      <w:r w:rsidRPr="00DF5933">
        <w:rPr>
          <w:rFonts w:ascii="Arial Narrow" w:eastAsia="Arial" w:hAnsi="Arial Narrow"/>
        </w:rPr>
        <w:t>H)</w:t>
      </w:r>
      <w:r>
        <w:rPr>
          <w:rFonts w:ascii="Arial Narrow" w:eastAsia="Arial" w:hAnsi="Arial Narrow"/>
        </w:rPr>
        <w:tab/>
      </w:r>
      <w:r w:rsidRPr="00DF5933">
        <w:rPr>
          <w:rFonts w:ascii="Arial Narrow" w:eastAsia="Arial" w:hAnsi="Arial Narrow"/>
        </w:rPr>
        <w:t>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02AFB692" w14:textId="77777777" w:rsidR="008831EC" w:rsidRDefault="008831EC" w:rsidP="008831EC">
      <w:pPr>
        <w:spacing w:after="0" w:line="276" w:lineRule="auto"/>
        <w:jc w:val="both"/>
        <w:rPr>
          <w:rFonts w:ascii="Arial Narrow" w:eastAsia="Arial" w:hAnsi="Arial Narrow"/>
        </w:rPr>
      </w:pPr>
    </w:p>
    <w:p w14:paraId="29FBAACD" w14:textId="77777777" w:rsidR="008831EC" w:rsidRPr="00C83C2F" w:rsidRDefault="008831EC" w:rsidP="008831EC">
      <w:pPr>
        <w:autoSpaceDE w:val="0"/>
        <w:autoSpaceDN w:val="0"/>
        <w:adjustRightInd w:val="0"/>
        <w:spacing w:after="0" w:line="276" w:lineRule="auto"/>
        <w:jc w:val="both"/>
        <w:rPr>
          <w:rFonts w:ascii="Arial Narrow" w:hAnsi="Arial Narrow" w:cs="Tahoma"/>
        </w:rPr>
      </w:pPr>
      <w:r w:rsidRPr="00C83C2F">
        <w:rPr>
          <w:rFonts w:ascii="Arial Narrow" w:hAnsi="Arial Narrow" w:cs="Tahoma"/>
        </w:rPr>
        <w:t>Doklady, ktoré sa nepredkladajú:</w:t>
      </w:r>
    </w:p>
    <w:p w14:paraId="36D430F3" w14:textId="77777777" w:rsidR="008831EC" w:rsidRPr="00C83C2F" w:rsidRDefault="008831EC" w:rsidP="008831EC">
      <w:pPr>
        <w:autoSpaceDE w:val="0"/>
        <w:autoSpaceDN w:val="0"/>
        <w:adjustRightInd w:val="0"/>
        <w:spacing w:after="0" w:line="276" w:lineRule="auto"/>
        <w:jc w:val="both"/>
        <w:rPr>
          <w:rFonts w:ascii="Arial Narrow" w:hAnsi="Arial Narrow" w:cs="Tahoma"/>
        </w:rPr>
      </w:pPr>
      <w:r w:rsidRPr="00C83C2F">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566A6C8" w14:textId="77777777" w:rsidR="008831EC" w:rsidRPr="00C83C2F" w:rsidRDefault="008831EC" w:rsidP="008831EC">
      <w:pPr>
        <w:pStyle w:val="Odsekzoznamu"/>
        <w:widowControl w:val="0"/>
        <w:tabs>
          <w:tab w:val="left" w:pos="0"/>
        </w:tabs>
        <w:spacing w:after="0"/>
        <w:ind w:hanging="360"/>
        <w:contextualSpacing w:val="0"/>
        <w:jc w:val="both"/>
        <w:rPr>
          <w:rFonts w:ascii="Arial Narrow" w:hAnsi="Arial Narrow" w:cs="Tahoma"/>
        </w:rPr>
      </w:pPr>
      <w:r w:rsidRPr="00C83C2F">
        <w:rPr>
          <w:rFonts w:ascii="Arial Narrow" w:hAnsi="Arial Narrow" w:cs="Tahoma"/>
        </w:rPr>
        <w:t>-</w:t>
      </w:r>
      <w:r w:rsidRPr="00C83C2F">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E190B97" w14:textId="77777777" w:rsidR="008831EC" w:rsidRPr="00C83C2F" w:rsidRDefault="008831EC" w:rsidP="008831EC">
      <w:pPr>
        <w:pStyle w:val="Odsekzoznamu"/>
        <w:widowControl w:val="0"/>
        <w:tabs>
          <w:tab w:val="left" w:pos="0"/>
        </w:tabs>
        <w:spacing w:after="0"/>
        <w:ind w:hanging="360"/>
        <w:contextualSpacing w:val="0"/>
        <w:jc w:val="both"/>
        <w:rPr>
          <w:rFonts w:ascii="Arial Narrow" w:hAnsi="Arial Narrow" w:cs="Tahoma"/>
        </w:rPr>
      </w:pPr>
      <w:r w:rsidRPr="00C83C2F">
        <w:rPr>
          <w:rFonts w:ascii="Arial Narrow" w:hAnsi="Arial Narrow" w:cs="Tahoma"/>
        </w:rPr>
        <w:t>-</w:t>
      </w:r>
      <w:r w:rsidRPr="00C83C2F">
        <w:rPr>
          <w:rFonts w:ascii="Arial Narrow" w:hAnsi="Arial Narrow" w:cs="Tahoma"/>
        </w:rPr>
        <w:tab/>
        <w:t>potvrdenia zdravotnej poisťovne a Sociálnej poisťovne podľa § 32 ods. 1 písm. b) a  ods. 2 písm. b) zákona,</w:t>
      </w:r>
    </w:p>
    <w:p w14:paraId="31DE7DE4" w14:textId="77777777" w:rsidR="008831EC" w:rsidRPr="00C83C2F" w:rsidRDefault="008831EC" w:rsidP="008831EC">
      <w:pPr>
        <w:pStyle w:val="Odsekzoznamu"/>
        <w:widowControl w:val="0"/>
        <w:tabs>
          <w:tab w:val="left" w:pos="0"/>
        </w:tabs>
        <w:spacing w:after="0"/>
        <w:ind w:hanging="360"/>
        <w:contextualSpacing w:val="0"/>
        <w:jc w:val="both"/>
        <w:rPr>
          <w:rFonts w:ascii="Arial Narrow" w:hAnsi="Arial Narrow" w:cs="Tahoma"/>
        </w:rPr>
      </w:pPr>
      <w:r w:rsidRPr="00C83C2F">
        <w:rPr>
          <w:rFonts w:ascii="Arial Narrow" w:hAnsi="Arial Narrow" w:cs="Tahoma"/>
        </w:rPr>
        <w:t>-</w:t>
      </w:r>
      <w:r w:rsidRPr="00C83C2F">
        <w:rPr>
          <w:rFonts w:ascii="Arial Narrow" w:hAnsi="Arial Narrow" w:cs="Tahoma"/>
        </w:rPr>
        <w:tab/>
        <w:t>potvrdenia miestne príslušného daňového úradu a miestne príslušného colného úradu podľa § 32 ods. 1 písm. c) a ods. 2 písm. c) zákona,</w:t>
      </w:r>
    </w:p>
    <w:p w14:paraId="3F906C18" w14:textId="77777777" w:rsidR="008831EC" w:rsidRPr="00C83C2F" w:rsidRDefault="008831EC" w:rsidP="008831EC">
      <w:pPr>
        <w:pStyle w:val="Odsekzoznamu"/>
        <w:widowControl w:val="0"/>
        <w:tabs>
          <w:tab w:val="left" w:pos="0"/>
        </w:tabs>
        <w:spacing w:after="0"/>
        <w:ind w:hanging="360"/>
        <w:contextualSpacing w:val="0"/>
        <w:jc w:val="both"/>
        <w:rPr>
          <w:rFonts w:ascii="Arial Narrow" w:hAnsi="Arial Narrow" w:cs="Tahoma"/>
        </w:rPr>
      </w:pPr>
      <w:r w:rsidRPr="00C83C2F">
        <w:rPr>
          <w:rFonts w:ascii="Arial Narrow" w:hAnsi="Arial Narrow" w:cs="Tahoma"/>
        </w:rPr>
        <w:t>-</w:t>
      </w:r>
      <w:r w:rsidRPr="00C83C2F">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28FAD83" w14:textId="77777777" w:rsidR="008831EC" w:rsidRPr="00C52A58" w:rsidRDefault="008831EC" w:rsidP="008831EC">
      <w:pPr>
        <w:autoSpaceDE w:val="0"/>
        <w:autoSpaceDN w:val="0"/>
        <w:adjustRightInd w:val="0"/>
        <w:spacing w:after="0" w:line="276" w:lineRule="auto"/>
        <w:jc w:val="both"/>
        <w:rPr>
          <w:rFonts w:ascii="Arial Narrow" w:hAnsi="Arial Narrow" w:cs="Tahoma"/>
          <w:b/>
        </w:rPr>
      </w:pPr>
      <w:r w:rsidRPr="00C52A58">
        <w:rPr>
          <w:rFonts w:ascii="Arial Narrow" w:hAnsi="Arial Narrow" w:cs="Tahoma"/>
          <w:b/>
        </w:rPr>
        <w:t>Upozornenie:</w:t>
      </w:r>
    </w:p>
    <w:p w14:paraId="7D00376E" w14:textId="77777777" w:rsidR="008831EC" w:rsidRPr="006F5C49" w:rsidRDefault="008831EC" w:rsidP="008831EC">
      <w:pPr>
        <w:spacing w:after="0" w:line="276" w:lineRule="auto"/>
        <w:jc w:val="both"/>
        <w:rPr>
          <w:rFonts w:ascii="Arial Narrow" w:eastAsia="Arial" w:hAnsi="Arial Narrow"/>
          <w:b/>
        </w:rPr>
      </w:pPr>
      <w:r w:rsidRPr="00C83C2F">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6F5C49">
        <w:rPr>
          <w:rFonts w:ascii="Arial Narrow" w:hAnsi="Arial Narrow"/>
          <w:b/>
          <w:shd w:val="clear" w:color="auto" w:fill="FFFFFF"/>
        </w:rPr>
        <w:t>krstné meno, priezvisko, rodné priezvisko, rodné číslo, číslo občianskeho preukazu alebo cestovného pasu.</w:t>
      </w:r>
    </w:p>
    <w:p w14:paraId="0C5B63AF" w14:textId="77777777" w:rsidR="008831EC" w:rsidRDefault="008831EC" w:rsidP="008831EC">
      <w:pPr>
        <w:spacing w:after="0" w:line="276" w:lineRule="auto"/>
        <w:jc w:val="both"/>
        <w:rPr>
          <w:rFonts w:ascii="Arial Narrow" w:eastAsia="Arial" w:hAnsi="Arial Narrow"/>
        </w:rPr>
      </w:pPr>
    </w:p>
    <w:p w14:paraId="290BF9A2" w14:textId="77777777" w:rsidR="008831EC" w:rsidRPr="00F8423D" w:rsidRDefault="008831EC" w:rsidP="008831EC">
      <w:pPr>
        <w:spacing w:after="0" w:line="276" w:lineRule="auto"/>
        <w:jc w:val="both"/>
        <w:rPr>
          <w:rFonts w:ascii="Arial Narrow" w:eastAsia="Arial" w:hAnsi="Arial Narrow"/>
        </w:rPr>
      </w:pPr>
      <w:r w:rsidRPr="00F8423D">
        <w:rPr>
          <w:rFonts w:ascii="Arial Narrow" w:eastAsia="Arial" w:hAnsi="Arial Narrow"/>
          <w:b/>
        </w:rPr>
        <w:t>Preukazovanie podmienok účasti je voči verejnému obstarávateľovi účinné aj spôsobom podľa § 152 ods. 4 zákona</w:t>
      </w:r>
      <w:r>
        <w:rPr>
          <w:rFonts w:ascii="Arial Narrow" w:eastAsia="Arial" w:hAnsi="Arial Narrow"/>
          <w:b/>
        </w:rPr>
        <w:t xml:space="preserve"> – teda prostredníctvom zápisu do Zoznamu hospodárskych subjektov</w:t>
      </w:r>
      <w:r w:rsidRPr="00F8423D">
        <w:rPr>
          <w:rFonts w:ascii="Arial Narrow" w:eastAsia="Arial" w:hAnsi="Arial Narrow"/>
          <w:b/>
        </w:rPr>
        <w:t xml:space="preserve">. </w:t>
      </w:r>
      <w:r w:rsidRPr="00F8423D">
        <w:rPr>
          <w:rFonts w:ascii="Arial Narrow" w:eastAsia="Arial" w:hAnsi="Arial Narrow"/>
        </w:rPr>
        <w:t>Uchádzač zapísaný v </w:t>
      </w:r>
      <w:r>
        <w:rPr>
          <w:rFonts w:ascii="Arial Narrow" w:eastAsia="Arial" w:hAnsi="Arial Narrow"/>
        </w:rPr>
        <w:t>Z</w:t>
      </w:r>
      <w:r w:rsidRPr="00F8423D">
        <w:rPr>
          <w:rFonts w:ascii="Arial Narrow" w:eastAsia="Arial" w:hAnsi="Arial Narrow"/>
        </w:rPr>
        <w:t>ozname hospodárskych subjektov podľa zákona nie je povinný v procese verejného obstarávania predkladať doklady podľa § 32 ods. 2 zákona.</w:t>
      </w:r>
    </w:p>
    <w:p w14:paraId="4B747326" w14:textId="77777777" w:rsidR="008831EC" w:rsidRPr="00F8423D" w:rsidRDefault="008831EC" w:rsidP="008831EC">
      <w:pPr>
        <w:autoSpaceDE w:val="0"/>
        <w:autoSpaceDN w:val="0"/>
        <w:adjustRightInd w:val="0"/>
        <w:spacing w:after="0" w:line="276" w:lineRule="auto"/>
        <w:ind w:hanging="1"/>
        <w:jc w:val="both"/>
        <w:rPr>
          <w:rFonts w:ascii="Arial Narrow" w:eastAsia="Arial" w:hAnsi="Arial Narrow"/>
        </w:rPr>
      </w:pPr>
      <w:r w:rsidRPr="00F8423D">
        <w:rPr>
          <w:rFonts w:ascii="Arial Narrow" w:eastAsia="Arial"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6241240" w14:textId="77777777" w:rsidR="008831EC" w:rsidRPr="000523E2" w:rsidRDefault="008831EC" w:rsidP="008831EC">
      <w:pPr>
        <w:spacing w:after="0" w:line="276" w:lineRule="auto"/>
        <w:jc w:val="both"/>
        <w:rPr>
          <w:rFonts w:ascii="Arial Narrow" w:eastAsia="Arial" w:hAnsi="Arial Narrow"/>
        </w:rPr>
      </w:pPr>
      <w:r w:rsidRPr="00DF5933">
        <w:rPr>
          <w:rFonts w:ascii="Arial Narrow" w:eastAsia="Arial" w:hAnsi="Arial Narrow"/>
        </w:rPr>
        <w:t xml:space="preserve">Ak uchádzač má sídlo, miesto podnikania alebo obvyklý pobyt mimo územia Slovenskej republiky a štát jeho sídla, miesta podnikania alebo obvyklého pobytu nevydáva niektoré z dokladov uvedených </w:t>
      </w:r>
      <w:r>
        <w:rPr>
          <w:rFonts w:ascii="Arial Narrow" w:eastAsia="Arial" w:hAnsi="Arial Narrow"/>
        </w:rPr>
        <w:t xml:space="preserve">podľa § 32 ods.2 zákona </w:t>
      </w:r>
      <w:r w:rsidRPr="00DF5933">
        <w:rPr>
          <w:rFonts w:ascii="Arial Narrow" w:eastAsia="Arial" w:hAnsi="Arial Narrow"/>
        </w:rPr>
        <w:t xml:space="preserve">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523E2">
        <w:rPr>
          <w:rFonts w:ascii="Arial Narrow" w:eastAsia="Arial" w:hAnsi="Arial Narrow"/>
        </w:rPr>
        <w:t xml:space="preserve"> </w:t>
      </w:r>
      <w:r w:rsidRPr="00DF5933">
        <w:rPr>
          <w:rFonts w:ascii="Arial Narrow" w:eastAsia="Arial" w:hAnsi="Arial Narrow"/>
        </w:rPr>
        <w:t xml:space="preserve">inštitúciou podľa predpisov platných v štáte sídla, miesta podnikania alebo obvyklého pobytu uchádzača. </w:t>
      </w:r>
    </w:p>
    <w:p w14:paraId="59B8E618" w14:textId="77777777" w:rsidR="008831EC" w:rsidRDefault="008831EC" w:rsidP="008831EC">
      <w:pPr>
        <w:spacing w:after="120"/>
        <w:jc w:val="both"/>
        <w:rPr>
          <w:rFonts w:ascii="Arial Narrow" w:eastAsia="Arial" w:hAnsi="Arial Narrow"/>
        </w:rPr>
      </w:pPr>
      <w:r w:rsidRPr="000523E2">
        <w:rPr>
          <w:rFonts w:ascii="Arial Narrow" w:eastAsia="Arial"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AF7AE61" w14:textId="6F5CF7B4" w:rsidR="008831EC" w:rsidRPr="00F8423D" w:rsidRDefault="008831EC" w:rsidP="00517BB1">
      <w:pPr>
        <w:pStyle w:val="Odsekzoznamu"/>
        <w:numPr>
          <w:ilvl w:val="0"/>
          <w:numId w:val="15"/>
        </w:numPr>
        <w:spacing w:after="0"/>
        <w:ind w:left="284" w:hanging="284"/>
        <w:contextualSpacing w:val="0"/>
        <w:rPr>
          <w:rFonts w:ascii="Arial Narrow" w:eastAsia="Arial" w:hAnsi="Arial Narrow"/>
          <w:b/>
          <w:u w:val="single"/>
        </w:rPr>
      </w:pPr>
      <w:r w:rsidRPr="00F8423D">
        <w:rPr>
          <w:rFonts w:ascii="Arial Narrow" w:eastAsia="Arial" w:hAnsi="Arial Narrow"/>
          <w:b/>
          <w:u w:val="single"/>
        </w:rPr>
        <w:t>f</w:t>
      </w:r>
      <w:r>
        <w:rPr>
          <w:rFonts w:ascii="Arial Narrow" w:eastAsia="Arial" w:hAnsi="Arial Narrow"/>
          <w:b/>
          <w:u w:val="single"/>
        </w:rPr>
        <w:t>inančné a ekonomické postavenie</w:t>
      </w:r>
    </w:p>
    <w:p w14:paraId="3872D57F" w14:textId="0B2B894C" w:rsidR="008831EC" w:rsidRDefault="008831EC" w:rsidP="00517BB1">
      <w:pPr>
        <w:pStyle w:val="Odsekzoznamu"/>
        <w:spacing w:after="0"/>
        <w:ind w:left="284"/>
        <w:contextualSpacing w:val="0"/>
        <w:jc w:val="both"/>
        <w:rPr>
          <w:rFonts w:ascii="Arial Narrow" w:eastAsia="Arial" w:hAnsi="Arial Narrow"/>
        </w:rPr>
      </w:pPr>
      <w:r>
        <w:rPr>
          <w:rFonts w:ascii="Arial Narrow" w:eastAsia="Arial" w:hAnsi="Arial Narrow"/>
        </w:rPr>
        <w:t>Nepožaduje sa.</w:t>
      </w:r>
    </w:p>
    <w:p w14:paraId="09824880" w14:textId="77777777" w:rsidR="00517BB1" w:rsidRDefault="00517BB1" w:rsidP="00517BB1">
      <w:pPr>
        <w:pStyle w:val="Odsekzoznamu"/>
        <w:spacing w:after="0"/>
        <w:ind w:left="284"/>
        <w:contextualSpacing w:val="0"/>
        <w:jc w:val="both"/>
        <w:rPr>
          <w:rFonts w:ascii="Arial Narrow" w:eastAsia="Arial" w:hAnsi="Arial Narrow"/>
        </w:rPr>
      </w:pPr>
    </w:p>
    <w:p w14:paraId="31D44DD1" w14:textId="24680462" w:rsidR="008831EC" w:rsidRPr="00B07D2C" w:rsidRDefault="008831EC" w:rsidP="00517BB1">
      <w:pPr>
        <w:numPr>
          <w:ilvl w:val="0"/>
          <w:numId w:val="15"/>
        </w:numPr>
        <w:spacing w:after="0" w:line="276" w:lineRule="auto"/>
        <w:ind w:left="284" w:hanging="284"/>
        <w:rPr>
          <w:rFonts w:ascii="Arial Narrow" w:eastAsia="Arial" w:hAnsi="Arial Narrow"/>
          <w:b/>
          <w:u w:val="single"/>
        </w:rPr>
      </w:pPr>
      <w:r w:rsidRPr="00F8423D">
        <w:rPr>
          <w:rFonts w:ascii="Arial Narrow" w:eastAsia="Arial" w:hAnsi="Arial Narrow"/>
          <w:b/>
          <w:u w:val="single"/>
        </w:rPr>
        <w:t xml:space="preserve">technická alebo odborná spôsobilosť - § 34 ods. 1 písm. </w:t>
      </w:r>
      <w:r>
        <w:rPr>
          <w:rFonts w:ascii="Arial Narrow" w:eastAsia="Arial" w:hAnsi="Arial Narrow"/>
          <w:b/>
          <w:u w:val="single"/>
        </w:rPr>
        <w:t>a</w:t>
      </w:r>
      <w:r w:rsidRPr="00F8423D">
        <w:rPr>
          <w:rFonts w:ascii="Arial Narrow" w:eastAsia="Arial" w:hAnsi="Arial Narrow"/>
          <w:b/>
          <w:u w:val="single"/>
        </w:rPr>
        <w:t>) zákona</w:t>
      </w:r>
    </w:p>
    <w:p w14:paraId="3D256B32" w14:textId="77777777" w:rsidR="008B3D82" w:rsidRDefault="008B3D82" w:rsidP="00517BB1">
      <w:pPr>
        <w:spacing w:after="0" w:line="276" w:lineRule="auto"/>
        <w:rPr>
          <w:rFonts w:ascii="Arial Narrow" w:eastAsia="Arial" w:hAnsi="Arial Narrow"/>
        </w:rPr>
      </w:pPr>
    </w:p>
    <w:p w14:paraId="3FC1F591" w14:textId="77777777" w:rsidR="00517BB1" w:rsidRDefault="008831EC" w:rsidP="00517BB1">
      <w:pPr>
        <w:spacing w:after="0" w:line="276" w:lineRule="auto"/>
        <w:rPr>
          <w:rFonts w:ascii="Arial Narrow" w:eastAsia="Arial" w:hAnsi="Arial Narrow"/>
        </w:rPr>
      </w:pPr>
      <w:r w:rsidRPr="000523E2">
        <w:rPr>
          <w:rFonts w:ascii="Arial Narrow" w:eastAsia="Arial" w:hAnsi="Arial Narrow"/>
        </w:rPr>
        <w:t>Minimálne požiadavky</w:t>
      </w:r>
      <w:r w:rsidR="00517BB1">
        <w:rPr>
          <w:rFonts w:ascii="Arial Narrow" w:eastAsia="Arial" w:hAnsi="Arial Narrow"/>
        </w:rPr>
        <w:t xml:space="preserve"> </w:t>
      </w:r>
    </w:p>
    <w:p w14:paraId="46C110E3" w14:textId="77777777" w:rsidR="008B3D82" w:rsidRDefault="00517BB1" w:rsidP="008B3D82">
      <w:pPr>
        <w:pStyle w:val="Nadpis2"/>
        <w:spacing w:before="0"/>
        <w:jc w:val="both"/>
        <w:rPr>
          <w:rFonts w:ascii="Arial Narrow" w:eastAsia="Calibri" w:hAnsi="Arial Narrow" w:cs="Times New Roman"/>
          <w:b w:val="0"/>
          <w:bCs w:val="0"/>
          <w:color w:val="000000"/>
          <w:sz w:val="22"/>
          <w:szCs w:val="22"/>
        </w:rPr>
      </w:pPr>
      <w:bookmarkStart w:id="0" w:name="_Hlk500234260"/>
      <w:r w:rsidRPr="008B3D82">
        <w:rPr>
          <w:rFonts w:ascii="Arial Narrow" w:eastAsia="Calibri" w:hAnsi="Arial Narrow" w:cs="Times New Roman"/>
          <w:b w:val="0"/>
          <w:bCs w:val="0"/>
          <w:color w:val="000000"/>
          <w:sz w:val="22"/>
          <w:szCs w:val="22"/>
        </w:rPr>
        <w:t xml:space="preserve">Verejný obstarávateľ požaduje predložiť </w:t>
      </w:r>
      <w:r w:rsidRPr="008B3D82">
        <w:rPr>
          <w:rFonts w:ascii="Arial Narrow" w:hAnsi="Arial Narrow"/>
          <w:b w:val="0"/>
          <w:color w:val="000000"/>
          <w:sz w:val="22"/>
          <w:szCs w:val="22"/>
        </w:rPr>
        <w:t>zoznam poskytnutých služieb</w:t>
      </w:r>
      <w:r w:rsidRPr="008B3D82">
        <w:rPr>
          <w:rFonts w:ascii="Arial Narrow" w:eastAsia="Calibri" w:hAnsi="Arial Narrow" w:cs="Times New Roman"/>
          <w:b w:val="0"/>
          <w:bCs w:val="0"/>
          <w:color w:val="000000"/>
          <w:sz w:val="22"/>
          <w:szCs w:val="22"/>
        </w:rPr>
        <w:t xml:space="preserve"> </w:t>
      </w:r>
      <w:r w:rsidRPr="00DE6DCD">
        <w:rPr>
          <w:rFonts w:ascii="Arial Narrow" w:eastAsia="Calibri" w:hAnsi="Arial Narrow" w:cs="Times New Roman"/>
          <w:b w:val="0"/>
          <w:bCs w:val="0"/>
          <w:color w:val="000000"/>
          <w:sz w:val="22"/>
          <w:szCs w:val="22"/>
        </w:rPr>
        <w:t xml:space="preserve">za predchádzajúce tri roky (36 mesiacov) od vyhlásenia verejného obstarávania (ďalej len „rozhodné obdobie“) s uvedením cien, lehôt dodania a odberateľov; dokladom je referencia, ak odberateľom bol verejný obstarávateľ alebo obstarávateľ podľa </w:t>
      </w:r>
      <w:r w:rsidRPr="008B3D82">
        <w:rPr>
          <w:rFonts w:ascii="Arial Narrow" w:eastAsia="Calibri" w:hAnsi="Arial Narrow" w:cs="Times New Roman"/>
          <w:b w:val="0"/>
          <w:bCs w:val="0"/>
          <w:color w:val="000000"/>
          <w:sz w:val="22"/>
          <w:szCs w:val="22"/>
        </w:rPr>
        <w:t>zákona.</w:t>
      </w:r>
    </w:p>
    <w:p w14:paraId="1FAE39CF" w14:textId="77B1ACBA" w:rsidR="00517BB1" w:rsidRPr="00CD00AA" w:rsidRDefault="00517BB1" w:rsidP="008B3D82">
      <w:pPr>
        <w:pStyle w:val="Nadpis2"/>
        <w:spacing w:before="0"/>
        <w:jc w:val="both"/>
        <w:rPr>
          <w:rFonts w:ascii="Arial Narrow" w:hAnsi="Arial Narrow"/>
          <w:b w:val="0"/>
          <w:color w:val="000000"/>
          <w:sz w:val="22"/>
          <w:szCs w:val="22"/>
        </w:rPr>
      </w:pPr>
      <w:r w:rsidRPr="008B3D82">
        <w:rPr>
          <w:rFonts w:ascii="Arial Narrow" w:hAnsi="Arial Narrow"/>
          <w:b w:val="0"/>
          <w:color w:val="000000"/>
          <w:sz w:val="22"/>
          <w:szCs w:val="22"/>
        </w:rPr>
        <w:t xml:space="preserve">Za vyhlásenie verejného obstarávania sa považuje zverejnenie oznámenia o vyhlásení verejného obstarávania v </w:t>
      </w:r>
      <w:r w:rsidRPr="00CD00AA">
        <w:rPr>
          <w:rFonts w:ascii="Arial Narrow" w:hAnsi="Arial Narrow"/>
          <w:b w:val="0"/>
          <w:color w:val="000000"/>
          <w:sz w:val="22"/>
          <w:szCs w:val="22"/>
        </w:rPr>
        <w:t>Úradnom vestníku Európskej únie.</w:t>
      </w:r>
    </w:p>
    <w:p w14:paraId="79EC8978" w14:textId="77777777" w:rsidR="00517BB1" w:rsidRPr="00CD00AA" w:rsidRDefault="00517BB1" w:rsidP="00517BB1">
      <w:pPr>
        <w:spacing w:after="0" w:line="276" w:lineRule="auto"/>
        <w:ind w:left="567"/>
        <w:jc w:val="both"/>
        <w:rPr>
          <w:rFonts w:ascii="Arial Narrow" w:hAnsi="Arial Narrow"/>
          <w:color w:val="000000"/>
        </w:rPr>
      </w:pPr>
    </w:p>
    <w:p w14:paraId="59C2FCD7" w14:textId="7B00743B" w:rsidR="00517BB1" w:rsidRPr="00CD00AA" w:rsidRDefault="00517BB1" w:rsidP="00517BB1">
      <w:pPr>
        <w:spacing w:after="0" w:line="276" w:lineRule="auto"/>
        <w:jc w:val="both"/>
        <w:rPr>
          <w:rFonts w:ascii="Arial Narrow" w:hAnsi="Arial Narrow" w:cs="Arial"/>
        </w:rPr>
      </w:pPr>
      <w:r w:rsidRPr="00CD00AA">
        <w:rPr>
          <w:rFonts w:ascii="Arial Narrow" w:hAnsi="Arial Narrow" w:cs="Arial"/>
        </w:rPr>
        <w:t xml:space="preserve">Uchádzač predloží zoznam poskytnutých služieb úspešne splnených zmlúv, ktorých predmetom bolo poskytnutie služieb prostredníctvom hlasovej virtuálnej privátnej siete (HVPS) a/alebo dátovej virtuálnej privátnej siete (DVPS) mobilného operátora alebo podobného charakteru ako je predmet zákazky poskytnutých v rozhodnom období v celkovej súhrnnej hodnote minimálne </w:t>
      </w:r>
      <w:r w:rsidR="008B3D82" w:rsidRPr="00CD00AA">
        <w:rPr>
          <w:rFonts w:ascii="Arial Narrow" w:hAnsi="Arial Narrow" w:cs="Arial"/>
        </w:rPr>
        <w:t>2</w:t>
      </w:r>
      <w:r w:rsidRPr="00CD00AA">
        <w:rPr>
          <w:rFonts w:ascii="Arial Narrow" w:hAnsi="Arial Narrow" w:cs="Arial"/>
        </w:rPr>
        <w:t xml:space="preserve"> 000 </w:t>
      </w:r>
      <w:proofErr w:type="spellStart"/>
      <w:r w:rsidRPr="00CD00AA">
        <w:rPr>
          <w:rFonts w:ascii="Arial Narrow" w:hAnsi="Arial Narrow" w:cs="Arial"/>
        </w:rPr>
        <w:t>000</w:t>
      </w:r>
      <w:proofErr w:type="spellEnd"/>
      <w:r w:rsidRPr="00CD00AA">
        <w:rPr>
          <w:rFonts w:ascii="Arial Narrow" w:hAnsi="Arial Narrow" w:cs="Arial"/>
        </w:rPr>
        <w:t xml:space="preserve"> EUR bez DPH.</w:t>
      </w:r>
    </w:p>
    <w:p w14:paraId="286AAAFC" w14:textId="77777777" w:rsidR="00517BB1" w:rsidRPr="00CD00AA" w:rsidRDefault="00517BB1" w:rsidP="00517BB1">
      <w:pPr>
        <w:spacing w:after="0" w:line="276" w:lineRule="auto"/>
        <w:jc w:val="both"/>
        <w:rPr>
          <w:rFonts w:ascii="Arial Narrow" w:hAnsi="Arial Narrow" w:cs="Arial"/>
        </w:rPr>
      </w:pPr>
    </w:p>
    <w:p w14:paraId="220859B6" w14:textId="77777777" w:rsidR="008B3D82" w:rsidRPr="00CD00AA" w:rsidRDefault="008B3D82" w:rsidP="008B3D82">
      <w:pPr>
        <w:spacing w:after="0" w:line="276" w:lineRule="auto"/>
        <w:jc w:val="both"/>
        <w:rPr>
          <w:rFonts w:ascii="Arial Narrow" w:hAnsi="Arial Narrow" w:cs="Arial"/>
        </w:rPr>
      </w:pPr>
      <w:r w:rsidRPr="00CD00AA">
        <w:rPr>
          <w:rFonts w:ascii="Arial Narrow" w:hAnsi="Arial Narrow" w:cs="Arial"/>
        </w:rPr>
        <w:t>Uchádzačom predložený zoznam poskytnutých služieb musí obsahovať:</w:t>
      </w:r>
    </w:p>
    <w:p w14:paraId="55EE8527" w14:textId="6D530334" w:rsidR="008B3D82" w:rsidRPr="008B3D82" w:rsidRDefault="008B3D82" w:rsidP="008B3D82">
      <w:pPr>
        <w:spacing w:after="0" w:line="276" w:lineRule="auto"/>
        <w:ind w:left="284" w:hanging="284"/>
        <w:jc w:val="both"/>
        <w:rPr>
          <w:rFonts w:ascii="Arial Narrow" w:hAnsi="Arial Narrow" w:cs="Arial"/>
        </w:rPr>
      </w:pPr>
      <w:r w:rsidRPr="00CD00AA">
        <w:rPr>
          <w:rFonts w:ascii="Arial Narrow" w:hAnsi="Arial Narrow" w:cs="Arial"/>
        </w:rPr>
        <w:t>-</w:t>
      </w:r>
      <w:r w:rsidRPr="00CD00AA">
        <w:rPr>
          <w:rFonts w:ascii="Arial Narrow" w:hAnsi="Arial Narrow" w:cs="Arial"/>
        </w:rPr>
        <w:tab/>
        <w:t>obchodné meno a adresu odberateľa, meno, priezvisko, funkciu</w:t>
      </w:r>
      <w:r w:rsidRPr="008B3D82">
        <w:rPr>
          <w:rFonts w:ascii="Arial Narrow" w:hAnsi="Arial Narrow" w:cs="Arial"/>
        </w:rPr>
        <w:t>, telefónne číslo a e-mailovú adresu osoby odberateľa,</w:t>
      </w:r>
      <w:r>
        <w:rPr>
          <w:rFonts w:ascii="Arial Narrow" w:hAnsi="Arial Narrow" w:cs="Arial"/>
        </w:rPr>
        <w:t xml:space="preserve"> </w:t>
      </w:r>
      <w:r w:rsidRPr="008B3D82">
        <w:rPr>
          <w:rFonts w:ascii="Arial Narrow" w:hAnsi="Arial Narrow" w:cs="Arial"/>
        </w:rPr>
        <w:t>kde si možno tieto údaje overiť;</w:t>
      </w:r>
    </w:p>
    <w:p w14:paraId="3A76FCCA" w14:textId="627557DD" w:rsidR="008B3D82" w:rsidRPr="008B3D82" w:rsidRDefault="008B3D82" w:rsidP="008B3D82">
      <w:pPr>
        <w:spacing w:after="0" w:line="276" w:lineRule="auto"/>
        <w:ind w:left="284" w:hanging="284"/>
        <w:jc w:val="both"/>
        <w:rPr>
          <w:rFonts w:ascii="Arial Narrow" w:hAnsi="Arial Narrow" w:cs="Arial"/>
        </w:rPr>
      </w:pPr>
      <w:r w:rsidRPr="008B3D82">
        <w:rPr>
          <w:rFonts w:ascii="Arial Narrow" w:hAnsi="Arial Narrow" w:cs="Arial"/>
        </w:rPr>
        <w:t>-</w:t>
      </w:r>
      <w:r>
        <w:rPr>
          <w:rFonts w:ascii="Arial Narrow" w:hAnsi="Arial Narrow" w:cs="Arial"/>
        </w:rPr>
        <w:tab/>
      </w:r>
      <w:r w:rsidRPr="008B3D82">
        <w:rPr>
          <w:rFonts w:ascii="Arial Narrow" w:hAnsi="Arial Narrow" w:cs="Arial"/>
        </w:rPr>
        <w:t>stručný opis poskytnutej služby;</w:t>
      </w:r>
    </w:p>
    <w:p w14:paraId="01CCA023" w14:textId="2791D18C" w:rsidR="008B3D82" w:rsidRPr="008B3D82" w:rsidRDefault="008B3D82" w:rsidP="008B3D82">
      <w:pPr>
        <w:spacing w:after="0" w:line="276" w:lineRule="auto"/>
        <w:ind w:left="284" w:hanging="284"/>
        <w:jc w:val="both"/>
        <w:rPr>
          <w:rFonts w:ascii="Arial Narrow" w:hAnsi="Arial Narrow" w:cs="Arial"/>
        </w:rPr>
      </w:pPr>
      <w:r w:rsidRPr="008B3D82">
        <w:rPr>
          <w:rFonts w:ascii="Arial Narrow" w:hAnsi="Arial Narrow" w:cs="Arial"/>
        </w:rPr>
        <w:t>-</w:t>
      </w:r>
      <w:r>
        <w:rPr>
          <w:rFonts w:ascii="Arial Narrow" w:hAnsi="Arial Narrow" w:cs="Arial"/>
        </w:rPr>
        <w:tab/>
      </w:r>
      <w:r w:rsidRPr="008B3D82">
        <w:rPr>
          <w:rFonts w:ascii="Arial Narrow" w:hAnsi="Arial Narrow" w:cs="Arial"/>
        </w:rPr>
        <w:t>celkovú zmluvnú a fakturovanú cenu v mene euro bez DPH.</w:t>
      </w:r>
    </w:p>
    <w:p w14:paraId="7A5FDF2F" w14:textId="77777777" w:rsidR="00CD00AA" w:rsidRDefault="00CD00AA" w:rsidP="008B3D82">
      <w:pPr>
        <w:spacing w:after="0" w:line="276" w:lineRule="auto"/>
        <w:ind w:left="284"/>
        <w:jc w:val="both"/>
        <w:rPr>
          <w:rFonts w:ascii="Arial Narrow" w:hAnsi="Arial Narrow" w:cs="Arial"/>
        </w:rPr>
      </w:pPr>
    </w:p>
    <w:p w14:paraId="060D0225" w14:textId="15C43CC5" w:rsidR="008B3D82" w:rsidRDefault="008B3D82" w:rsidP="00CD00AA">
      <w:pPr>
        <w:spacing w:after="0" w:line="276" w:lineRule="auto"/>
        <w:jc w:val="both"/>
        <w:rPr>
          <w:rFonts w:ascii="Arial Narrow" w:hAnsi="Arial Narrow" w:cs="Arial"/>
        </w:rPr>
      </w:pPr>
      <w:r w:rsidRPr="008B3D82">
        <w:rPr>
          <w:rFonts w:ascii="Arial Narrow" w:hAnsi="Arial Narrow" w:cs="Arial"/>
        </w:rPr>
        <w:t>Ak sa poskytnutie služby uvedeného v zozname viaže na dlhšie obdobie ako sa požaduje, uchádzač uvedie aj alikvotné</w:t>
      </w:r>
      <w:r>
        <w:rPr>
          <w:rFonts w:ascii="Arial Narrow" w:hAnsi="Arial Narrow" w:cs="Arial"/>
        </w:rPr>
        <w:t xml:space="preserve"> </w:t>
      </w:r>
      <w:r w:rsidRPr="008B3D82">
        <w:rPr>
          <w:rFonts w:ascii="Arial Narrow" w:hAnsi="Arial Narrow" w:cs="Arial"/>
        </w:rPr>
        <w:t xml:space="preserve">údaje poskytnutej služby za prislúchajúce požadované </w:t>
      </w:r>
      <w:r>
        <w:rPr>
          <w:rFonts w:ascii="Arial Narrow" w:hAnsi="Arial Narrow" w:cs="Arial"/>
        </w:rPr>
        <w:t xml:space="preserve">rozhodné </w:t>
      </w:r>
      <w:r w:rsidRPr="008B3D82">
        <w:rPr>
          <w:rFonts w:ascii="Arial Narrow" w:hAnsi="Arial Narrow" w:cs="Arial"/>
        </w:rPr>
        <w:t>obdobie.</w:t>
      </w:r>
      <w:bookmarkStart w:id="1" w:name="_GoBack"/>
      <w:bookmarkEnd w:id="1"/>
    </w:p>
    <w:p w14:paraId="495CBEB5" w14:textId="77777777" w:rsidR="008B3D82" w:rsidRDefault="008B3D82" w:rsidP="00517BB1">
      <w:pPr>
        <w:spacing w:after="0" w:line="276" w:lineRule="auto"/>
        <w:jc w:val="both"/>
        <w:rPr>
          <w:rFonts w:ascii="Arial Narrow" w:hAnsi="Arial Narrow" w:cs="Arial"/>
        </w:rPr>
      </w:pPr>
    </w:p>
    <w:p w14:paraId="36ACA314" w14:textId="77777777" w:rsidR="00517BB1" w:rsidRPr="00DE6DCD" w:rsidRDefault="00517BB1" w:rsidP="00517BB1">
      <w:pPr>
        <w:spacing w:after="0" w:line="276" w:lineRule="auto"/>
        <w:jc w:val="both"/>
        <w:rPr>
          <w:rFonts w:ascii="Arial Narrow" w:hAnsi="Arial Narrow" w:cs="Arial"/>
        </w:rPr>
      </w:pPr>
      <w:r w:rsidRPr="00DE6DCD">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17F912BB" w14:textId="77777777" w:rsidR="00517BB1" w:rsidRPr="00DE6DCD" w:rsidRDefault="00517BB1" w:rsidP="00517BB1">
      <w:pPr>
        <w:spacing w:after="0" w:line="276" w:lineRule="auto"/>
        <w:ind w:left="567"/>
        <w:jc w:val="both"/>
        <w:rPr>
          <w:rFonts w:ascii="Arial Narrow" w:hAnsi="Arial Narrow"/>
          <w:b/>
        </w:rPr>
      </w:pPr>
    </w:p>
    <w:p w14:paraId="2A18D7BA" w14:textId="77777777" w:rsidR="00517BB1" w:rsidRPr="00DE6DCD" w:rsidRDefault="00517BB1" w:rsidP="00517BB1">
      <w:pPr>
        <w:spacing w:after="0" w:line="276" w:lineRule="auto"/>
        <w:jc w:val="both"/>
        <w:rPr>
          <w:rFonts w:ascii="Arial Narrow" w:hAnsi="Arial Narrow"/>
          <w:color w:val="000000"/>
        </w:rPr>
      </w:pPr>
      <w:r w:rsidRPr="00DE6DCD">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DE6DCD">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1618D04B" w14:textId="77777777" w:rsidR="00517BB1" w:rsidRPr="00DE6DCD" w:rsidRDefault="00517BB1" w:rsidP="00517BB1">
      <w:pPr>
        <w:spacing w:after="0" w:line="276" w:lineRule="auto"/>
        <w:jc w:val="both"/>
        <w:rPr>
          <w:rFonts w:ascii="Arial Narrow" w:hAnsi="Arial Narrow"/>
          <w:color w:val="000000"/>
        </w:rPr>
      </w:pPr>
      <w:r w:rsidRPr="00DE6DCD">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206447C0" w14:textId="15ECCE02" w:rsidR="008831EC" w:rsidRDefault="00517BB1" w:rsidP="00517BB1">
      <w:pPr>
        <w:spacing w:after="0" w:line="276" w:lineRule="auto"/>
        <w:jc w:val="both"/>
        <w:rPr>
          <w:rFonts w:ascii="Arial Narrow" w:hAnsi="Arial Narrow"/>
          <w:color w:val="000000"/>
        </w:rPr>
      </w:pPr>
      <w:r w:rsidRPr="00DE6DCD">
        <w:rPr>
          <w:rStyle w:val="Obyajntabuka31"/>
          <w:rFonts w:ascii="Arial Narrow" w:hAnsi="Arial Narrow"/>
          <w:b w:val="0"/>
          <w:sz w:val="22"/>
        </w:rPr>
        <w:lastRenderedPageBreak/>
        <w:t>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p>
    <w:bookmarkEnd w:id="0"/>
    <w:sectPr w:rsidR="008831EC" w:rsidSect="00932AC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277E" w14:textId="77777777" w:rsidR="006C7B78" w:rsidRDefault="006C7B78" w:rsidP="002F2CF6">
      <w:pPr>
        <w:spacing w:after="0" w:line="240" w:lineRule="auto"/>
      </w:pPr>
      <w:r>
        <w:separator/>
      </w:r>
    </w:p>
  </w:endnote>
  <w:endnote w:type="continuationSeparator" w:id="0">
    <w:p w14:paraId="18FE98E3" w14:textId="77777777" w:rsidR="006C7B78" w:rsidRDefault="006C7B78"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E1D8" w14:textId="5A7F065D"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CD00AA">
      <w:rPr>
        <w:rFonts w:ascii="Arial Narrow" w:hAnsi="Arial Narrow"/>
        <w:noProof/>
        <w:sz w:val="20"/>
        <w:szCs w:val="20"/>
      </w:rPr>
      <w:t>3</w:t>
    </w:r>
    <w:r w:rsidRPr="00C4474E">
      <w:rPr>
        <w:rFonts w:ascii="Arial Narrow" w:hAnsi="Arial Narrow"/>
        <w:sz w:val="20"/>
        <w:szCs w:val="20"/>
      </w:rPr>
      <w:fldChar w:fldCharType="end"/>
    </w:r>
  </w:p>
  <w:p w14:paraId="7332FD79" w14:textId="0D380D8E" w:rsidR="00C4474E" w:rsidRDefault="007E5EE2" w:rsidP="007E5EE2">
    <w:pPr>
      <w:pStyle w:val="Pta"/>
      <w:spacing w:after="0"/>
      <w:jc w:val="both"/>
    </w:pPr>
    <w:r w:rsidRPr="008959BF">
      <w:rPr>
        <w:rFonts w:ascii="Arial Narrow" w:hAnsi="Arial Narrow"/>
        <w:sz w:val="16"/>
      </w:rPr>
      <w:t xml:space="preserve">Súťažné podklady pre verejnú súťaž: </w:t>
    </w:r>
    <w:r>
      <w:rPr>
        <w:rFonts w:ascii="Arial Narrow" w:hAnsi="Arial Narrow"/>
        <w:sz w:val="16"/>
      </w:rPr>
      <w:t>„</w:t>
    </w:r>
    <w:r w:rsidR="008831EC" w:rsidRPr="008831EC">
      <w:rPr>
        <w:rFonts w:ascii="Arial Narrow" w:hAnsi="Arial Narrow"/>
        <w:sz w:val="16"/>
      </w:rPr>
      <w:t>Mobilné telekomunikačné služby</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46AC4" w14:textId="77777777" w:rsidR="006C7B78" w:rsidRDefault="006C7B78" w:rsidP="002F2CF6">
      <w:pPr>
        <w:spacing w:after="0" w:line="240" w:lineRule="auto"/>
      </w:pPr>
      <w:r>
        <w:separator/>
      </w:r>
    </w:p>
  </w:footnote>
  <w:footnote w:type="continuationSeparator" w:id="0">
    <w:p w14:paraId="6428FC10" w14:textId="77777777" w:rsidR="006C7B78" w:rsidRDefault="006C7B78" w:rsidP="002F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BA37" w14:textId="77777777" w:rsidR="00593C06" w:rsidRPr="009033F7" w:rsidRDefault="00593C06">
    <w:pPr>
      <w:pStyle w:val="Hlavika"/>
    </w:pPr>
    <w:r w:rsidRPr="009033F7">
      <w:tab/>
    </w:r>
    <w:r w:rsidRPr="009033F7">
      <w:tab/>
    </w:r>
    <w:r w:rsidRPr="009033F7">
      <w:rPr>
        <w:rFonts w:ascii="Arial Narrow" w:hAnsi="Arial Narrow"/>
      </w:rPr>
      <w:t>Príloha č. 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DDE688A"/>
    <w:multiLevelType w:val="hybridMultilevel"/>
    <w:tmpl w:val="795A1352"/>
    <w:lvl w:ilvl="0" w:tplc="6D7211EC">
      <w:start w:val="2"/>
      <w:numFmt w:val="lowerLetter"/>
      <w:lvlText w:val="%1)"/>
      <w:lvlJc w:val="left"/>
      <w:pPr>
        <w:ind w:left="601" w:hanging="360"/>
      </w:pPr>
      <w:rPr>
        <w:rFonts w:hint="default"/>
        <w:b/>
        <w:i w:val="0"/>
        <w:u w:val="none"/>
      </w:rPr>
    </w:lvl>
    <w:lvl w:ilvl="1" w:tplc="041B0019" w:tentative="1">
      <w:start w:val="1"/>
      <w:numFmt w:val="lowerLetter"/>
      <w:lvlText w:val="%2."/>
      <w:lvlJc w:val="left"/>
      <w:pPr>
        <w:ind w:left="1321" w:hanging="360"/>
      </w:pPr>
    </w:lvl>
    <w:lvl w:ilvl="2" w:tplc="041B001B" w:tentative="1">
      <w:start w:val="1"/>
      <w:numFmt w:val="lowerRoman"/>
      <w:lvlText w:val="%3."/>
      <w:lvlJc w:val="right"/>
      <w:pPr>
        <w:ind w:left="2041" w:hanging="180"/>
      </w:pPr>
    </w:lvl>
    <w:lvl w:ilvl="3" w:tplc="041B000F" w:tentative="1">
      <w:start w:val="1"/>
      <w:numFmt w:val="decimal"/>
      <w:lvlText w:val="%4."/>
      <w:lvlJc w:val="left"/>
      <w:pPr>
        <w:ind w:left="2761" w:hanging="360"/>
      </w:pPr>
    </w:lvl>
    <w:lvl w:ilvl="4" w:tplc="041B0019" w:tentative="1">
      <w:start w:val="1"/>
      <w:numFmt w:val="lowerLetter"/>
      <w:lvlText w:val="%5."/>
      <w:lvlJc w:val="left"/>
      <w:pPr>
        <w:ind w:left="3481" w:hanging="360"/>
      </w:pPr>
    </w:lvl>
    <w:lvl w:ilvl="5" w:tplc="041B001B" w:tentative="1">
      <w:start w:val="1"/>
      <w:numFmt w:val="lowerRoman"/>
      <w:lvlText w:val="%6."/>
      <w:lvlJc w:val="right"/>
      <w:pPr>
        <w:ind w:left="4201" w:hanging="180"/>
      </w:pPr>
    </w:lvl>
    <w:lvl w:ilvl="6" w:tplc="041B000F" w:tentative="1">
      <w:start w:val="1"/>
      <w:numFmt w:val="decimal"/>
      <w:lvlText w:val="%7."/>
      <w:lvlJc w:val="left"/>
      <w:pPr>
        <w:ind w:left="4921" w:hanging="360"/>
      </w:pPr>
    </w:lvl>
    <w:lvl w:ilvl="7" w:tplc="041B0019" w:tentative="1">
      <w:start w:val="1"/>
      <w:numFmt w:val="lowerLetter"/>
      <w:lvlText w:val="%8."/>
      <w:lvlJc w:val="left"/>
      <w:pPr>
        <w:ind w:left="5641" w:hanging="360"/>
      </w:pPr>
    </w:lvl>
    <w:lvl w:ilvl="8" w:tplc="041B001B" w:tentative="1">
      <w:start w:val="1"/>
      <w:numFmt w:val="lowerRoman"/>
      <w:lvlText w:val="%9."/>
      <w:lvlJc w:val="right"/>
      <w:pPr>
        <w:ind w:left="6361" w:hanging="180"/>
      </w:pPr>
    </w:lvl>
  </w:abstractNum>
  <w:abstractNum w:abstractNumId="3">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6">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E236382"/>
    <w:multiLevelType w:val="hybridMultilevel"/>
    <w:tmpl w:val="D5744656"/>
    <w:lvl w:ilvl="0" w:tplc="F80C92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13">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7">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10"/>
  </w:num>
  <w:num w:numId="4">
    <w:abstractNumId w:val="14"/>
  </w:num>
  <w:num w:numId="5">
    <w:abstractNumId w:val="7"/>
  </w:num>
  <w:num w:numId="6">
    <w:abstractNumId w:val="0"/>
  </w:num>
  <w:num w:numId="7">
    <w:abstractNumId w:val="6"/>
  </w:num>
  <w:num w:numId="8">
    <w:abstractNumId w:val="13"/>
  </w:num>
  <w:num w:numId="9">
    <w:abstractNumId w:val="5"/>
  </w:num>
  <w:num w:numId="10">
    <w:abstractNumId w:val="17"/>
  </w:num>
  <w:num w:numId="11">
    <w:abstractNumId w:val="15"/>
  </w:num>
  <w:num w:numId="12">
    <w:abstractNumId w:val="9"/>
  </w:num>
  <w:num w:numId="13">
    <w:abstractNumId w:val="4"/>
  </w:num>
  <w:num w:numId="14">
    <w:abstractNumId w:val="1"/>
  </w:num>
  <w:num w:numId="15">
    <w:abstractNumId w:val="2"/>
  </w:num>
  <w:num w:numId="16">
    <w:abstractNumId w:val="8"/>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E"/>
    <w:rsid w:val="00016D46"/>
    <w:rsid w:val="000229E0"/>
    <w:rsid w:val="000265D5"/>
    <w:rsid w:val="000375C5"/>
    <w:rsid w:val="00040869"/>
    <w:rsid w:val="000411B7"/>
    <w:rsid w:val="000467E7"/>
    <w:rsid w:val="00057298"/>
    <w:rsid w:val="0006464B"/>
    <w:rsid w:val="0006714D"/>
    <w:rsid w:val="00074DA8"/>
    <w:rsid w:val="00077D7B"/>
    <w:rsid w:val="000C34B1"/>
    <w:rsid w:val="000E053E"/>
    <w:rsid w:val="00101F10"/>
    <w:rsid w:val="00125322"/>
    <w:rsid w:val="00131BA7"/>
    <w:rsid w:val="001871F5"/>
    <w:rsid w:val="0019653E"/>
    <w:rsid w:val="001979FF"/>
    <w:rsid w:val="00197D66"/>
    <w:rsid w:val="001B173F"/>
    <w:rsid w:val="001B1E41"/>
    <w:rsid w:val="001C5EF2"/>
    <w:rsid w:val="001D1234"/>
    <w:rsid w:val="001F0E86"/>
    <w:rsid w:val="002344AF"/>
    <w:rsid w:val="0024710B"/>
    <w:rsid w:val="00260C02"/>
    <w:rsid w:val="00266139"/>
    <w:rsid w:val="00275791"/>
    <w:rsid w:val="00283EC0"/>
    <w:rsid w:val="00287E6B"/>
    <w:rsid w:val="002950BB"/>
    <w:rsid w:val="002B2C97"/>
    <w:rsid w:val="002C0EB5"/>
    <w:rsid w:val="002F2CF6"/>
    <w:rsid w:val="002F5780"/>
    <w:rsid w:val="003042DE"/>
    <w:rsid w:val="0033257F"/>
    <w:rsid w:val="00336F13"/>
    <w:rsid w:val="00366424"/>
    <w:rsid w:val="003665DF"/>
    <w:rsid w:val="00384934"/>
    <w:rsid w:val="003A7447"/>
    <w:rsid w:val="003B40B0"/>
    <w:rsid w:val="003C3224"/>
    <w:rsid w:val="003C5FE3"/>
    <w:rsid w:val="003E1434"/>
    <w:rsid w:val="004000DF"/>
    <w:rsid w:val="00400237"/>
    <w:rsid w:val="0041117E"/>
    <w:rsid w:val="00411AC6"/>
    <w:rsid w:val="0042183F"/>
    <w:rsid w:val="004234B3"/>
    <w:rsid w:val="004270F5"/>
    <w:rsid w:val="00481F73"/>
    <w:rsid w:val="0048472D"/>
    <w:rsid w:val="0048682B"/>
    <w:rsid w:val="004909E2"/>
    <w:rsid w:val="004B1510"/>
    <w:rsid w:val="004B2D2D"/>
    <w:rsid w:val="004D08F1"/>
    <w:rsid w:val="004D2AA1"/>
    <w:rsid w:val="004E1011"/>
    <w:rsid w:val="004E171C"/>
    <w:rsid w:val="004E48FC"/>
    <w:rsid w:val="004E63B5"/>
    <w:rsid w:val="00503A53"/>
    <w:rsid w:val="00505AA6"/>
    <w:rsid w:val="00505EE3"/>
    <w:rsid w:val="00517BB1"/>
    <w:rsid w:val="00521839"/>
    <w:rsid w:val="005228D4"/>
    <w:rsid w:val="00530595"/>
    <w:rsid w:val="00540DD9"/>
    <w:rsid w:val="00544E63"/>
    <w:rsid w:val="005540C1"/>
    <w:rsid w:val="005623CE"/>
    <w:rsid w:val="00585E5D"/>
    <w:rsid w:val="00593C06"/>
    <w:rsid w:val="005A7CB3"/>
    <w:rsid w:val="005D0C00"/>
    <w:rsid w:val="005D2FF1"/>
    <w:rsid w:val="00612DB3"/>
    <w:rsid w:val="00615FAB"/>
    <w:rsid w:val="00626E8D"/>
    <w:rsid w:val="00632D7D"/>
    <w:rsid w:val="006435C6"/>
    <w:rsid w:val="006473DC"/>
    <w:rsid w:val="00647B4F"/>
    <w:rsid w:val="0065519D"/>
    <w:rsid w:val="006744A6"/>
    <w:rsid w:val="006959DA"/>
    <w:rsid w:val="006B40D5"/>
    <w:rsid w:val="006C7B78"/>
    <w:rsid w:val="006E10FA"/>
    <w:rsid w:val="006E6DE9"/>
    <w:rsid w:val="006F0026"/>
    <w:rsid w:val="006F3197"/>
    <w:rsid w:val="006F654B"/>
    <w:rsid w:val="00700231"/>
    <w:rsid w:val="00703F44"/>
    <w:rsid w:val="00710B15"/>
    <w:rsid w:val="0071436B"/>
    <w:rsid w:val="00725449"/>
    <w:rsid w:val="0073590D"/>
    <w:rsid w:val="0074064F"/>
    <w:rsid w:val="0075157F"/>
    <w:rsid w:val="0075271D"/>
    <w:rsid w:val="00761371"/>
    <w:rsid w:val="007651FE"/>
    <w:rsid w:val="0077221A"/>
    <w:rsid w:val="0078297A"/>
    <w:rsid w:val="007A6695"/>
    <w:rsid w:val="007B1EFE"/>
    <w:rsid w:val="007C4970"/>
    <w:rsid w:val="007D6987"/>
    <w:rsid w:val="007E5EE2"/>
    <w:rsid w:val="007F1FC2"/>
    <w:rsid w:val="007F647F"/>
    <w:rsid w:val="00800AE1"/>
    <w:rsid w:val="0080159A"/>
    <w:rsid w:val="008028A0"/>
    <w:rsid w:val="00804189"/>
    <w:rsid w:val="00804DBD"/>
    <w:rsid w:val="00805AD0"/>
    <w:rsid w:val="008366F1"/>
    <w:rsid w:val="008452B0"/>
    <w:rsid w:val="00867B41"/>
    <w:rsid w:val="008831EC"/>
    <w:rsid w:val="00892235"/>
    <w:rsid w:val="008A6469"/>
    <w:rsid w:val="008B3D82"/>
    <w:rsid w:val="008B7C2D"/>
    <w:rsid w:val="008E4706"/>
    <w:rsid w:val="008E7B85"/>
    <w:rsid w:val="008F1596"/>
    <w:rsid w:val="009033F7"/>
    <w:rsid w:val="00905BC6"/>
    <w:rsid w:val="009104B5"/>
    <w:rsid w:val="00932AC8"/>
    <w:rsid w:val="0093608A"/>
    <w:rsid w:val="00947ECF"/>
    <w:rsid w:val="00974834"/>
    <w:rsid w:val="00984093"/>
    <w:rsid w:val="00995000"/>
    <w:rsid w:val="009A0284"/>
    <w:rsid w:val="009A056C"/>
    <w:rsid w:val="009B1227"/>
    <w:rsid w:val="009B788C"/>
    <w:rsid w:val="009C1B26"/>
    <w:rsid w:val="009C1BF2"/>
    <w:rsid w:val="009E566F"/>
    <w:rsid w:val="009F3321"/>
    <w:rsid w:val="00A16EB9"/>
    <w:rsid w:val="00A16FBB"/>
    <w:rsid w:val="00A31471"/>
    <w:rsid w:val="00A57695"/>
    <w:rsid w:val="00A75341"/>
    <w:rsid w:val="00A81524"/>
    <w:rsid w:val="00A83C23"/>
    <w:rsid w:val="00A93B01"/>
    <w:rsid w:val="00AB14BF"/>
    <w:rsid w:val="00AB3299"/>
    <w:rsid w:val="00AB5CA9"/>
    <w:rsid w:val="00AC65A5"/>
    <w:rsid w:val="00AC7F8D"/>
    <w:rsid w:val="00AE5F6C"/>
    <w:rsid w:val="00B16B83"/>
    <w:rsid w:val="00B367DC"/>
    <w:rsid w:val="00B36E2B"/>
    <w:rsid w:val="00B40A57"/>
    <w:rsid w:val="00B41DB5"/>
    <w:rsid w:val="00B4397D"/>
    <w:rsid w:val="00B5297B"/>
    <w:rsid w:val="00B560D2"/>
    <w:rsid w:val="00B61741"/>
    <w:rsid w:val="00B93BE9"/>
    <w:rsid w:val="00BA550B"/>
    <w:rsid w:val="00BB47F0"/>
    <w:rsid w:val="00BB5721"/>
    <w:rsid w:val="00BC7A9D"/>
    <w:rsid w:val="00BD4CE4"/>
    <w:rsid w:val="00BE4C4B"/>
    <w:rsid w:val="00BF2F20"/>
    <w:rsid w:val="00BF768B"/>
    <w:rsid w:val="00C05CA0"/>
    <w:rsid w:val="00C2198A"/>
    <w:rsid w:val="00C23906"/>
    <w:rsid w:val="00C3480B"/>
    <w:rsid w:val="00C4474E"/>
    <w:rsid w:val="00C61243"/>
    <w:rsid w:val="00C6773F"/>
    <w:rsid w:val="00C74BBC"/>
    <w:rsid w:val="00C8347A"/>
    <w:rsid w:val="00C945EE"/>
    <w:rsid w:val="00CA0DAB"/>
    <w:rsid w:val="00CA608A"/>
    <w:rsid w:val="00CB25C6"/>
    <w:rsid w:val="00CC142D"/>
    <w:rsid w:val="00CD00AA"/>
    <w:rsid w:val="00CF3E21"/>
    <w:rsid w:val="00CF79F1"/>
    <w:rsid w:val="00D0183C"/>
    <w:rsid w:val="00D03DEA"/>
    <w:rsid w:val="00D1581A"/>
    <w:rsid w:val="00D161E8"/>
    <w:rsid w:val="00D23749"/>
    <w:rsid w:val="00D27B76"/>
    <w:rsid w:val="00D31CF4"/>
    <w:rsid w:val="00D564E2"/>
    <w:rsid w:val="00D579D4"/>
    <w:rsid w:val="00D6222E"/>
    <w:rsid w:val="00D74DFD"/>
    <w:rsid w:val="00D75FB4"/>
    <w:rsid w:val="00D76C31"/>
    <w:rsid w:val="00D8128F"/>
    <w:rsid w:val="00D903CE"/>
    <w:rsid w:val="00D94A99"/>
    <w:rsid w:val="00D954B2"/>
    <w:rsid w:val="00DA05C0"/>
    <w:rsid w:val="00DA4C4A"/>
    <w:rsid w:val="00DB3D0D"/>
    <w:rsid w:val="00DC1DDC"/>
    <w:rsid w:val="00DC24CA"/>
    <w:rsid w:val="00DF02D0"/>
    <w:rsid w:val="00E031C1"/>
    <w:rsid w:val="00E321B5"/>
    <w:rsid w:val="00E345CC"/>
    <w:rsid w:val="00E36A76"/>
    <w:rsid w:val="00E42E50"/>
    <w:rsid w:val="00E42EA3"/>
    <w:rsid w:val="00E64417"/>
    <w:rsid w:val="00E672C2"/>
    <w:rsid w:val="00E83370"/>
    <w:rsid w:val="00E84D9F"/>
    <w:rsid w:val="00E850C8"/>
    <w:rsid w:val="00EA5F7A"/>
    <w:rsid w:val="00EB5DE6"/>
    <w:rsid w:val="00EF1110"/>
    <w:rsid w:val="00EF31EB"/>
    <w:rsid w:val="00EF5A00"/>
    <w:rsid w:val="00F01AB1"/>
    <w:rsid w:val="00F01C1A"/>
    <w:rsid w:val="00F248B9"/>
    <w:rsid w:val="00F72C10"/>
    <w:rsid w:val="00F94D9A"/>
    <w:rsid w:val="00F95EAD"/>
    <w:rsid w:val="00FA33B8"/>
    <w:rsid w:val="00FB7065"/>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9160-F435-4231-83A3-AF5C3E16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1743</Words>
  <Characters>9938</Characters>
  <Application>Microsoft Office Word</Application>
  <DocSecurity>0</DocSecurity>
  <Lines>82</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11658</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2020-01-27T09:57:00Z</dcterms:created>
  <dcterms:modified xsi:type="dcterms:W3CDTF">2021-03-02T13:18:00Z</dcterms:modified>
</cp:coreProperties>
</file>