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837" w:rsidRDefault="00C15837" w:rsidP="00C15837">
      <w:pPr>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 </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upozorňuje na znenie podmienok účasti podľa § 32 ods. 1 písm. b) a c) zákona a spôsobu ich preukazovania podľa § 32 ods. 2 písm. c) zákona účinné od 1.12.2019.</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Hospodársky subjekt môže predbežne nahradiť doklady na preukázanie splnenia podmienok účasti jednotným európskym dokumentom podľa § 39 ods. 1 zákona. </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Doklady, ktoré sa nepredkladajú:</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7B66A5" w:rsidRP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rsidR="007B66A5" w:rsidRP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potvrdenia zdravotnej poisťovne a Sociálnej poisťovne podľa § 32 ods. 1 písm. b) a  ods. 2 písm. b) zákona,</w:t>
      </w:r>
    </w:p>
    <w:p w:rsidR="007B66A5" w:rsidRP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potvrdenia miestne príslušného daňového úradu a miestne príslušného colného úradu podľa § 32 ods. 1 písm. c) a ods. 2 písm. c) zákona,</w:t>
      </w:r>
    </w:p>
    <w:p w:rsidR="007B66A5" w:rsidRDefault="007B66A5" w:rsidP="007B66A5">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7B66A5" w:rsidRPr="007B66A5" w:rsidRDefault="007B66A5" w:rsidP="007B66A5">
      <w:pPr>
        <w:autoSpaceDE w:val="0"/>
        <w:autoSpaceDN w:val="0"/>
        <w:adjustRightInd w:val="0"/>
        <w:spacing w:after="0" w:line="240" w:lineRule="auto"/>
        <w:jc w:val="both"/>
        <w:rPr>
          <w:rFonts w:ascii="Arial Narrow" w:hAnsi="Arial Narrow" w:cs="Tahoma"/>
          <w:sz w:val="22"/>
        </w:rPr>
      </w:pPr>
    </w:p>
    <w:p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Upozornenie:</w:t>
      </w:r>
    </w:p>
    <w:p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w:t>
      </w:r>
      <w:r>
        <w:rPr>
          <w:rFonts w:ascii="Arial Narrow" w:hAnsi="Arial Narrow" w:cs="Tahoma"/>
          <w:sz w:val="22"/>
        </w:rPr>
        <w:t>rodné priezvisko, rodné číslo.</w:t>
      </w:r>
    </w:p>
    <w:p w:rsidR="007B66A5" w:rsidRDefault="007B66A5" w:rsidP="007B66A5">
      <w:pPr>
        <w:autoSpaceDE w:val="0"/>
        <w:autoSpaceDN w:val="0"/>
        <w:adjustRightInd w:val="0"/>
        <w:spacing w:after="0" w:line="240" w:lineRule="auto"/>
        <w:jc w:val="both"/>
        <w:rPr>
          <w:rFonts w:ascii="Arial Narrow" w:hAnsi="Arial Narrow" w:cs="Tahoma"/>
          <w:sz w:val="22"/>
        </w:rPr>
      </w:pPr>
    </w:p>
    <w:p w:rsidR="001036D4" w:rsidRDefault="001036D4" w:rsidP="007B66A5">
      <w:pPr>
        <w:autoSpaceDE w:val="0"/>
        <w:autoSpaceDN w:val="0"/>
        <w:adjustRightInd w:val="0"/>
        <w:spacing w:after="0" w:line="240" w:lineRule="auto"/>
        <w:jc w:val="both"/>
        <w:rPr>
          <w:rFonts w:ascii="Arial Narrow" w:hAnsi="Arial Narrow" w:cs="Tahoma"/>
          <w:sz w:val="22"/>
        </w:rPr>
      </w:pPr>
    </w:p>
    <w:p w:rsidR="001036D4" w:rsidRDefault="001036D4" w:rsidP="007B66A5">
      <w:pPr>
        <w:autoSpaceDE w:val="0"/>
        <w:autoSpaceDN w:val="0"/>
        <w:adjustRightInd w:val="0"/>
        <w:spacing w:after="0" w:line="240" w:lineRule="auto"/>
        <w:jc w:val="both"/>
        <w:rPr>
          <w:rFonts w:ascii="Arial Narrow" w:hAnsi="Arial Narrow" w:cs="Tahoma"/>
          <w:sz w:val="22"/>
        </w:rPr>
      </w:pPr>
    </w:p>
    <w:p w:rsidR="001036D4" w:rsidRDefault="001036D4" w:rsidP="007B66A5">
      <w:pPr>
        <w:autoSpaceDE w:val="0"/>
        <w:autoSpaceDN w:val="0"/>
        <w:adjustRightInd w:val="0"/>
        <w:spacing w:after="0" w:line="240" w:lineRule="auto"/>
        <w:jc w:val="both"/>
        <w:rPr>
          <w:rFonts w:ascii="Arial Narrow" w:hAnsi="Arial Narrow" w:cs="Tahoma"/>
          <w:sz w:val="22"/>
        </w:rPr>
      </w:pPr>
    </w:p>
    <w:p w:rsidR="001036D4" w:rsidRDefault="001036D4" w:rsidP="007B66A5">
      <w:pPr>
        <w:autoSpaceDE w:val="0"/>
        <w:autoSpaceDN w:val="0"/>
        <w:adjustRightInd w:val="0"/>
        <w:spacing w:after="0" w:line="240" w:lineRule="auto"/>
        <w:jc w:val="both"/>
        <w:rPr>
          <w:rFonts w:ascii="Arial Narrow" w:hAnsi="Arial Narrow" w:cs="Tahoma"/>
          <w:sz w:val="22"/>
        </w:rPr>
      </w:pPr>
    </w:p>
    <w:p w:rsidR="001036D4" w:rsidRDefault="001036D4" w:rsidP="007B66A5">
      <w:pPr>
        <w:autoSpaceDE w:val="0"/>
        <w:autoSpaceDN w:val="0"/>
        <w:adjustRightInd w:val="0"/>
        <w:spacing w:after="0" w:line="240" w:lineRule="auto"/>
        <w:jc w:val="both"/>
        <w:rPr>
          <w:rFonts w:ascii="Arial Narrow" w:hAnsi="Arial Narrow" w:cs="Tahoma"/>
          <w:sz w:val="22"/>
        </w:rPr>
      </w:pPr>
    </w:p>
    <w:p w:rsidR="009212CB" w:rsidRPr="009212CB" w:rsidRDefault="009212CB" w:rsidP="009212CB">
      <w:pPr>
        <w:autoSpaceDE w:val="0"/>
        <w:autoSpaceDN w:val="0"/>
        <w:adjustRightInd w:val="0"/>
        <w:spacing w:after="0" w:line="240" w:lineRule="auto"/>
        <w:jc w:val="both"/>
        <w:rPr>
          <w:rFonts w:ascii="Arial Narrow" w:hAnsi="Arial Narrow" w:cs="Tahoma"/>
          <w:b/>
          <w:sz w:val="22"/>
        </w:rPr>
      </w:pPr>
      <w:r w:rsidRPr="009212CB">
        <w:rPr>
          <w:rFonts w:ascii="Arial Narrow" w:hAnsi="Arial Narrow" w:cs="Tahoma"/>
          <w:b/>
          <w:sz w:val="22"/>
        </w:rPr>
        <w:t>2. Ekonomické a finančné postavenie</w:t>
      </w:r>
      <w:r>
        <w:rPr>
          <w:rFonts w:ascii="Arial Narrow" w:hAnsi="Arial Narrow" w:cs="Tahoma"/>
          <w:b/>
          <w:sz w:val="22"/>
        </w:rPr>
        <w:t xml:space="preserve"> podľa § 33</w:t>
      </w:r>
    </w:p>
    <w:p w:rsidR="009212CB" w:rsidRDefault="009212CB" w:rsidP="009212CB">
      <w:pPr>
        <w:autoSpaceDE w:val="0"/>
        <w:autoSpaceDN w:val="0"/>
        <w:adjustRightInd w:val="0"/>
        <w:spacing w:after="0" w:line="240" w:lineRule="auto"/>
        <w:jc w:val="both"/>
        <w:rPr>
          <w:rFonts w:ascii="Arial Narrow" w:hAnsi="Arial Narrow" w:cs="Tahoma"/>
          <w:sz w:val="22"/>
        </w:rPr>
      </w:pPr>
      <w:r w:rsidRPr="009212CB">
        <w:rPr>
          <w:rFonts w:ascii="Arial Narrow" w:hAnsi="Arial Narrow" w:cs="Tahoma"/>
          <w:sz w:val="22"/>
        </w:rPr>
        <w:t>Neuplatňuje sa.</w:t>
      </w:r>
    </w:p>
    <w:p w:rsidR="009212CB" w:rsidRDefault="009212CB" w:rsidP="009212CB">
      <w:pPr>
        <w:autoSpaceDE w:val="0"/>
        <w:autoSpaceDN w:val="0"/>
        <w:adjustRightInd w:val="0"/>
        <w:spacing w:after="0" w:line="240" w:lineRule="auto"/>
        <w:jc w:val="both"/>
        <w:rPr>
          <w:rFonts w:ascii="Arial Narrow" w:hAnsi="Arial Narrow" w:cs="Tahoma"/>
          <w:sz w:val="22"/>
        </w:rPr>
      </w:pPr>
      <w:bookmarkStart w:id="0" w:name="_GoBack"/>
      <w:bookmarkEnd w:id="0"/>
    </w:p>
    <w:p w:rsidR="009212CB" w:rsidRDefault="009212CB" w:rsidP="009212CB">
      <w:pPr>
        <w:autoSpaceDE w:val="0"/>
        <w:autoSpaceDN w:val="0"/>
        <w:adjustRightInd w:val="0"/>
        <w:spacing w:after="0" w:line="240" w:lineRule="auto"/>
        <w:jc w:val="both"/>
        <w:rPr>
          <w:rFonts w:ascii="Arial Narrow" w:hAnsi="Arial Narrow" w:cs="Tahoma"/>
          <w:b/>
          <w:sz w:val="22"/>
        </w:rPr>
      </w:pPr>
      <w:r w:rsidRPr="009212CB">
        <w:rPr>
          <w:rFonts w:ascii="Arial Narrow" w:hAnsi="Arial Narrow" w:cs="Tahoma"/>
          <w:b/>
          <w:sz w:val="22"/>
        </w:rPr>
        <w:lastRenderedPageBreak/>
        <w:t>3. Technická spôsobilosť alebo odborná spôsobilosť podľa § 34</w:t>
      </w:r>
    </w:p>
    <w:p w:rsidR="009212CB" w:rsidRDefault="009212CB" w:rsidP="009212CB">
      <w:pPr>
        <w:autoSpaceDE w:val="0"/>
        <w:autoSpaceDN w:val="0"/>
        <w:adjustRightInd w:val="0"/>
        <w:spacing w:after="0" w:line="240" w:lineRule="auto"/>
        <w:jc w:val="both"/>
        <w:rPr>
          <w:rFonts w:ascii="Arial Narrow" w:hAnsi="Arial Narrow" w:cs="Tahoma"/>
          <w:b/>
          <w:sz w:val="22"/>
        </w:rPr>
      </w:pPr>
    </w:p>
    <w:p w:rsidR="009212CB" w:rsidRPr="00DE6DCD" w:rsidRDefault="009212CB" w:rsidP="009212CB">
      <w:pPr>
        <w:pStyle w:val="Textkomentra"/>
        <w:tabs>
          <w:tab w:val="left" w:pos="9180"/>
        </w:tabs>
        <w:jc w:val="both"/>
        <w:rPr>
          <w:rFonts w:ascii="Arial Narrow" w:hAnsi="Arial Narrow"/>
          <w:bCs/>
          <w:sz w:val="22"/>
          <w:szCs w:val="22"/>
        </w:rPr>
      </w:pPr>
      <w:r w:rsidRPr="00DE6DCD">
        <w:rPr>
          <w:rFonts w:ascii="Arial Narrow" w:hAnsi="Arial Narrow"/>
          <w:bCs/>
          <w:sz w:val="22"/>
          <w:szCs w:val="22"/>
        </w:rPr>
        <w:t>Podmienky účasti vo verejnom obstarávaní podľa § 34 zákona týkajúce sa technickej alebo odbornej spôsobilosti:</w:t>
      </w:r>
    </w:p>
    <w:p w:rsidR="009212CB" w:rsidRDefault="009212CB" w:rsidP="009212CB">
      <w:pPr>
        <w:pStyle w:val="Nadpis2"/>
        <w:numPr>
          <w:ilvl w:val="1"/>
          <w:numId w:val="11"/>
        </w:numPr>
        <w:spacing w:before="0" w:line="240" w:lineRule="auto"/>
        <w:ind w:left="567" w:hanging="567"/>
        <w:jc w:val="both"/>
        <w:rPr>
          <w:rFonts w:ascii="Arial Narrow" w:hAnsi="Arial Narrow"/>
          <w:b w:val="0"/>
          <w:color w:val="000000"/>
          <w:sz w:val="22"/>
          <w:szCs w:val="22"/>
          <w:u w:val="single"/>
        </w:rPr>
      </w:pPr>
      <w:r w:rsidRPr="009212CB">
        <w:rPr>
          <w:rFonts w:ascii="Arial Narrow" w:eastAsia="Calibri" w:hAnsi="Arial Narrow" w:cs="Times New Roman"/>
          <w:bCs w:val="0"/>
          <w:color w:val="000000"/>
          <w:sz w:val="22"/>
          <w:szCs w:val="22"/>
        </w:rPr>
        <w:t xml:space="preserve">podľa § 34 ods. 1 písm. </w:t>
      </w:r>
      <w:r w:rsidRPr="009212CB">
        <w:rPr>
          <w:rFonts w:ascii="Arial Narrow" w:eastAsia="Calibri" w:hAnsi="Arial Narrow" w:cs="Times New Roman"/>
          <w:bCs w:val="0"/>
          <w:color w:val="000000"/>
          <w:sz w:val="22"/>
          <w:szCs w:val="22"/>
        </w:rPr>
        <w:t>c</w:t>
      </w:r>
      <w:r w:rsidRPr="009212CB">
        <w:rPr>
          <w:rFonts w:ascii="Arial Narrow" w:eastAsia="Calibri" w:hAnsi="Arial Narrow" w:cs="Times New Roman"/>
          <w:bCs w:val="0"/>
          <w:color w:val="000000"/>
          <w:sz w:val="22"/>
          <w:szCs w:val="22"/>
        </w:rPr>
        <w:t>) zákona</w:t>
      </w:r>
      <w:r w:rsidRPr="009212CB">
        <w:rPr>
          <w:rFonts w:ascii="Arial Narrow" w:eastAsia="Calibri" w:hAnsi="Arial Narrow" w:cs="Times New Roman"/>
          <w:b w:val="0"/>
          <w:bCs w:val="0"/>
          <w:color w:val="000000"/>
          <w:sz w:val="22"/>
          <w:szCs w:val="22"/>
        </w:rPr>
        <w:t xml:space="preserve">  </w:t>
      </w:r>
      <w:r w:rsidRPr="009212CB">
        <w:rPr>
          <w:rFonts w:ascii="Arial Narrow" w:eastAsia="Calibri" w:hAnsi="Arial Narrow" w:cs="Times New Roman"/>
          <w:b w:val="0"/>
          <w:bCs w:val="0"/>
          <w:color w:val="000000"/>
          <w:sz w:val="22"/>
          <w:szCs w:val="22"/>
          <w:u w:val="single"/>
        </w:rPr>
        <w:t xml:space="preserve">verejný obstarávateľ požaduje predložiť </w:t>
      </w:r>
      <w:r w:rsidRPr="009212CB">
        <w:rPr>
          <w:rFonts w:ascii="Arial Narrow" w:hAnsi="Arial Narrow"/>
          <w:b w:val="0"/>
          <w:color w:val="000000"/>
          <w:sz w:val="22"/>
          <w:szCs w:val="22"/>
          <w:u w:val="single"/>
        </w:rPr>
        <w:t xml:space="preserve">zoznam </w:t>
      </w:r>
      <w:r w:rsidRPr="009212CB">
        <w:rPr>
          <w:rFonts w:ascii="Arial Narrow" w:hAnsi="Arial Narrow"/>
          <w:b w:val="0"/>
          <w:color w:val="000000"/>
          <w:sz w:val="22"/>
          <w:szCs w:val="22"/>
          <w:u w:val="single"/>
        </w:rPr>
        <w:t xml:space="preserve">minimálne </w:t>
      </w:r>
      <w:r w:rsidRPr="009212CB">
        <w:rPr>
          <w:rFonts w:ascii="Arial Narrow" w:hAnsi="Arial Narrow"/>
          <w:color w:val="000000"/>
          <w:sz w:val="22"/>
          <w:szCs w:val="22"/>
          <w:u w:val="single"/>
        </w:rPr>
        <w:t>2 technikov</w:t>
      </w:r>
      <w:r w:rsidRPr="009212CB">
        <w:rPr>
          <w:rFonts w:ascii="Arial Narrow" w:hAnsi="Arial Narrow"/>
          <w:b w:val="0"/>
          <w:color w:val="000000"/>
          <w:sz w:val="22"/>
          <w:szCs w:val="22"/>
          <w:u w:val="single"/>
        </w:rPr>
        <w:t xml:space="preserve"> údržby kategórie B1.3 a </w:t>
      </w:r>
      <w:r w:rsidRPr="009212CB">
        <w:rPr>
          <w:rFonts w:ascii="Arial Narrow" w:hAnsi="Arial Narrow"/>
          <w:color w:val="000000"/>
          <w:sz w:val="22"/>
          <w:szCs w:val="22"/>
          <w:u w:val="single"/>
        </w:rPr>
        <w:t>1 technika</w:t>
      </w:r>
      <w:r w:rsidRPr="009212CB">
        <w:rPr>
          <w:rFonts w:ascii="Arial Narrow" w:hAnsi="Arial Narrow"/>
          <w:b w:val="0"/>
          <w:color w:val="000000"/>
          <w:sz w:val="22"/>
          <w:szCs w:val="22"/>
          <w:u w:val="single"/>
        </w:rPr>
        <w:t xml:space="preserve"> údržby kategórie B2 ktorí spĺňajú nasledovné požiadavky:</w:t>
      </w:r>
    </w:p>
    <w:p w:rsidR="009212CB" w:rsidRPr="009212CB" w:rsidRDefault="009212CB" w:rsidP="009212CB"/>
    <w:p w:rsidR="009212CB" w:rsidRDefault="009212CB" w:rsidP="009212CB">
      <w:pPr>
        <w:pStyle w:val="Odsekzoznamu"/>
        <w:numPr>
          <w:ilvl w:val="0"/>
          <w:numId w:val="12"/>
        </w:numPr>
        <w:spacing w:line="240" w:lineRule="auto"/>
        <w:jc w:val="both"/>
        <w:rPr>
          <w:rFonts w:ascii="Arial Narrow" w:hAnsi="Arial Narrow"/>
          <w:sz w:val="22"/>
        </w:rPr>
      </w:pPr>
      <w:r>
        <w:rPr>
          <w:rFonts w:ascii="Arial Narrow" w:hAnsi="Arial Narrow"/>
          <w:sz w:val="22"/>
        </w:rPr>
        <w:t>Sú drž</w:t>
      </w:r>
      <w:r w:rsidRPr="009212CB">
        <w:rPr>
          <w:rFonts w:ascii="Arial Narrow" w:hAnsi="Arial Narrow"/>
          <w:sz w:val="22"/>
        </w:rPr>
        <w:t xml:space="preserve">iteľmi </w:t>
      </w:r>
      <w:r>
        <w:rPr>
          <w:rFonts w:ascii="Arial Narrow" w:hAnsi="Arial Narrow"/>
          <w:sz w:val="22"/>
        </w:rPr>
        <w:t>a predložia kópiu platných preukazov spôsobilosti technikov údržby lietadiel (</w:t>
      </w:r>
      <w:proofErr w:type="spellStart"/>
      <w:r>
        <w:rPr>
          <w:rFonts w:ascii="Arial Narrow" w:hAnsi="Arial Narrow"/>
          <w:sz w:val="22"/>
        </w:rPr>
        <w:t>Aircraft</w:t>
      </w:r>
      <w:proofErr w:type="spellEnd"/>
      <w:r>
        <w:rPr>
          <w:rFonts w:ascii="Arial Narrow" w:hAnsi="Arial Narrow"/>
          <w:sz w:val="22"/>
        </w:rPr>
        <w:t xml:space="preserve"> </w:t>
      </w:r>
      <w:proofErr w:type="spellStart"/>
      <w:r>
        <w:rPr>
          <w:rFonts w:ascii="Arial Narrow" w:hAnsi="Arial Narrow"/>
          <w:sz w:val="22"/>
        </w:rPr>
        <w:t>Maintenance</w:t>
      </w:r>
      <w:proofErr w:type="spellEnd"/>
      <w:r>
        <w:rPr>
          <w:rFonts w:ascii="Arial Narrow" w:hAnsi="Arial Narrow"/>
          <w:sz w:val="22"/>
        </w:rPr>
        <w:t xml:space="preserve"> </w:t>
      </w:r>
      <w:proofErr w:type="spellStart"/>
      <w:r>
        <w:rPr>
          <w:rFonts w:ascii="Arial Narrow" w:hAnsi="Arial Narrow"/>
          <w:sz w:val="22"/>
        </w:rPr>
        <w:t>License</w:t>
      </w:r>
      <w:proofErr w:type="spellEnd"/>
      <w:r>
        <w:rPr>
          <w:rFonts w:ascii="Arial Narrow" w:hAnsi="Arial Narrow"/>
          <w:sz w:val="22"/>
        </w:rPr>
        <w:t xml:space="preserve"> (AML))</w:t>
      </w:r>
      <w:r w:rsidR="005321E3">
        <w:rPr>
          <w:rFonts w:ascii="Arial Narrow" w:hAnsi="Arial Narrow"/>
          <w:sz w:val="22"/>
        </w:rPr>
        <w:t xml:space="preserve"> vydaných podľa nariadenia Komisie EÚ č. 1321/2014 z 26. novembra 2014 o </w:t>
      </w:r>
      <w:r w:rsidR="001036D4">
        <w:rPr>
          <w:rFonts w:ascii="Arial Narrow" w:hAnsi="Arial Narrow"/>
          <w:sz w:val="22"/>
        </w:rPr>
        <w:t>zacho</w:t>
      </w:r>
      <w:r w:rsidR="005321E3">
        <w:rPr>
          <w:rFonts w:ascii="Arial Narrow" w:hAnsi="Arial Narrow"/>
          <w:sz w:val="22"/>
        </w:rPr>
        <w:t>vaní letovej spôsobilosti lietadiel a</w:t>
      </w:r>
      <w:r w:rsidR="001036D4">
        <w:rPr>
          <w:rFonts w:ascii="Arial Narrow" w:hAnsi="Arial Narrow"/>
          <w:sz w:val="22"/>
        </w:rPr>
        <w:t> </w:t>
      </w:r>
      <w:r w:rsidR="005321E3">
        <w:rPr>
          <w:rFonts w:ascii="Arial Narrow" w:hAnsi="Arial Narrow"/>
          <w:sz w:val="22"/>
        </w:rPr>
        <w:t>výrobkov</w:t>
      </w:r>
      <w:r w:rsidR="001036D4">
        <w:rPr>
          <w:rFonts w:ascii="Arial Narrow" w:hAnsi="Arial Narrow"/>
          <w:sz w:val="22"/>
        </w:rPr>
        <w:t xml:space="preserve">, súčasti a zariadení leteckej techniky a o schvaľovaní organizácii a personálu zapojených do týchto činností podľa prílohy III, časť 66 v kategórii B1.3 a B2, pre typ vrtuľníka </w:t>
      </w:r>
      <w:proofErr w:type="spellStart"/>
      <w:r w:rsidR="001036D4">
        <w:rPr>
          <w:rFonts w:ascii="Arial Narrow" w:hAnsi="Arial Narrow"/>
          <w:sz w:val="22"/>
        </w:rPr>
        <w:t>Bell</w:t>
      </w:r>
      <w:proofErr w:type="spellEnd"/>
      <w:r w:rsidR="001036D4">
        <w:rPr>
          <w:rFonts w:ascii="Arial Narrow" w:hAnsi="Arial Narrow"/>
          <w:sz w:val="22"/>
        </w:rPr>
        <w:t xml:space="preserve"> 429,</w:t>
      </w:r>
    </w:p>
    <w:p w:rsidR="001036D4" w:rsidRPr="009212CB" w:rsidRDefault="001036D4" w:rsidP="009212CB">
      <w:pPr>
        <w:pStyle w:val="Odsekzoznamu"/>
        <w:numPr>
          <w:ilvl w:val="0"/>
          <w:numId w:val="12"/>
        </w:numPr>
        <w:spacing w:line="240" w:lineRule="auto"/>
        <w:jc w:val="both"/>
        <w:rPr>
          <w:rFonts w:ascii="Arial Narrow" w:hAnsi="Arial Narrow"/>
          <w:sz w:val="22"/>
        </w:rPr>
      </w:pPr>
      <w:r>
        <w:rPr>
          <w:rFonts w:ascii="Arial Narrow" w:hAnsi="Arial Narrow"/>
          <w:sz w:val="22"/>
        </w:rPr>
        <w:t xml:space="preserve">Predložia doklady o nepretržitej praxi v údržbe o dĺžke min. 24 mesiacov na type </w:t>
      </w:r>
      <w:proofErr w:type="spellStart"/>
      <w:r>
        <w:rPr>
          <w:rFonts w:ascii="Arial Narrow" w:hAnsi="Arial Narrow"/>
          <w:sz w:val="22"/>
        </w:rPr>
        <w:t>Bell</w:t>
      </w:r>
      <w:proofErr w:type="spellEnd"/>
      <w:r>
        <w:rPr>
          <w:rFonts w:ascii="Arial Narrow" w:hAnsi="Arial Narrow"/>
          <w:sz w:val="22"/>
        </w:rPr>
        <w:t xml:space="preserve"> 429 za posledných 30 mesiacov v rozsahu min. „50-Hour or 1-Month </w:t>
      </w:r>
      <w:proofErr w:type="spellStart"/>
      <w:r>
        <w:rPr>
          <w:rFonts w:ascii="Arial Narrow" w:hAnsi="Arial Narrow"/>
          <w:sz w:val="22"/>
        </w:rPr>
        <w:t>Inspection</w:t>
      </w:r>
      <w:proofErr w:type="spellEnd"/>
      <w:r>
        <w:rPr>
          <w:rFonts w:ascii="Arial Narrow" w:hAnsi="Arial Narrow"/>
          <w:sz w:val="22"/>
        </w:rPr>
        <w:t xml:space="preserve">“ až „600-Hour or 12-Month </w:t>
      </w:r>
      <w:proofErr w:type="spellStart"/>
      <w:r>
        <w:rPr>
          <w:rFonts w:ascii="Arial Narrow" w:hAnsi="Arial Narrow"/>
          <w:sz w:val="22"/>
        </w:rPr>
        <w:t>Inspection</w:t>
      </w:r>
      <w:proofErr w:type="spellEnd"/>
      <w:r>
        <w:rPr>
          <w:rFonts w:ascii="Arial Narrow" w:hAnsi="Arial Narrow"/>
          <w:sz w:val="22"/>
        </w:rPr>
        <w:t>“.</w:t>
      </w:r>
    </w:p>
    <w:p w:rsidR="009212CB" w:rsidRPr="009212CB" w:rsidRDefault="009212CB" w:rsidP="009212CB">
      <w:pPr>
        <w:spacing w:after="0" w:line="240" w:lineRule="auto"/>
        <w:jc w:val="both"/>
        <w:rPr>
          <w:rFonts w:ascii="Arial Narrow" w:hAnsi="Arial Narrow"/>
          <w:sz w:val="22"/>
        </w:rPr>
      </w:pPr>
    </w:p>
    <w:p w:rsidR="009212CB" w:rsidRPr="009212CB" w:rsidRDefault="009212CB" w:rsidP="009212CB">
      <w:pPr>
        <w:spacing w:after="0" w:line="240" w:lineRule="auto"/>
        <w:jc w:val="both"/>
        <w:rPr>
          <w:rFonts w:ascii="Arial Narrow" w:hAnsi="Arial Narrow"/>
          <w:color w:val="000000"/>
          <w:sz w:val="22"/>
        </w:rPr>
      </w:pPr>
      <w:r w:rsidRPr="009212CB">
        <w:rPr>
          <w:rFonts w:ascii="Arial Narrow" w:hAnsi="Arial Narrow"/>
          <w:sz w:val="22"/>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9212CB">
        <w:rPr>
          <w:rFonts w:ascii="Arial Narrow" w:hAnsi="Arial Narrow"/>
          <w:color w:val="000000"/>
          <w:sz w:val="22"/>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rsidR="009212CB" w:rsidRPr="009212CB" w:rsidRDefault="009212CB" w:rsidP="009212CB">
      <w:pPr>
        <w:spacing w:after="0" w:line="240" w:lineRule="auto"/>
        <w:jc w:val="both"/>
        <w:rPr>
          <w:rFonts w:ascii="Arial Narrow" w:hAnsi="Arial Narrow"/>
          <w:color w:val="000000"/>
          <w:sz w:val="22"/>
        </w:rPr>
      </w:pPr>
      <w:r w:rsidRPr="009212CB">
        <w:rPr>
          <w:rFonts w:ascii="Arial Narrow" w:hAnsi="Arial Narrow"/>
          <w:color w:val="000000"/>
          <w:sz w:val="22"/>
        </w:rPr>
        <w:t>V prípade uchádzača, ktorého tvorí skupina dodávateľov zúčastnená vo verejnom obstarávaní, sa požaduje preukázanie splnenia podmienok účasti týkajúcich sa technickej alebo odbornej spôsobilosti za všetkých členov skupiny spoločne.</w:t>
      </w:r>
    </w:p>
    <w:p w:rsidR="009212CB" w:rsidRPr="00DE6DCD" w:rsidRDefault="009212CB" w:rsidP="009212CB">
      <w:pPr>
        <w:spacing w:after="0" w:line="240" w:lineRule="auto"/>
        <w:jc w:val="both"/>
        <w:rPr>
          <w:rFonts w:ascii="Arial Narrow" w:hAnsi="Arial Narrow"/>
          <w:color w:val="000000"/>
        </w:rPr>
      </w:pPr>
    </w:p>
    <w:p w:rsidR="009212CB" w:rsidRPr="00DE6DCD" w:rsidRDefault="009212CB" w:rsidP="009212CB">
      <w:pPr>
        <w:spacing w:after="0" w:line="240" w:lineRule="auto"/>
        <w:jc w:val="both"/>
        <w:rPr>
          <w:rFonts w:ascii="Arial Narrow" w:hAnsi="Arial Narrow"/>
          <w:b/>
        </w:rPr>
      </w:pPr>
      <w:r w:rsidRPr="00DE6DCD">
        <w:rPr>
          <w:rStyle w:val="Obyajntabuka31"/>
          <w:rFonts w:ascii="Arial Narrow" w:hAnsi="Arial Narrow"/>
          <w:sz w:val="22"/>
        </w:rPr>
        <w:t>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p>
    <w:p w:rsidR="00C15837" w:rsidRDefault="00C15837" w:rsidP="009212CB">
      <w:pPr>
        <w:rPr>
          <w:rFonts w:ascii="Arial Narrow" w:hAnsi="Arial Narrow"/>
          <w:sz w:val="22"/>
        </w:rPr>
      </w:pPr>
    </w:p>
    <w:sectPr w:rsidR="00C15837" w:rsidSect="00A100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DC" w:rsidRDefault="000C68DC" w:rsidP="008E5C6C">
      <w:pPr>
        <w:spacing w:after="0" w:line="240" w:lineRule="auto"/>
      </w:pPr>
      <w:r>
        <w:separator/>
      </w:r>
    </w:p>
  </w:endnote>
  <w:endnote w:type="continuationSeparator" w:id="0">
    <w:p w:rsidR="000C68DC" w:rsidRDefault="000C68DC"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37" w:rsidRDefault="00C15837">
    <w:pPr>
      <w:pStyle w:val="Pta"/>
    </w:pPr>
    <w:r>
      <w:rPr>
        <w:noProof/>
        <w:lang w:eastAsia="sk-SK"/>
      </w:rPr>
      <w:drawing>
        <wp:inline distT="0" distB="0" distL="0" distR="0">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DC" w:rsidRDefault="000C68DC" w:rsidP="008E5C6C">
      <w:pPr>
        <w:spacing w:after="0" w:line="240" w:lineRule="auto"/>
      </w:pPr>
      <w:r>
        <w:separator/>
      </w:r>
    </w:p>
  </w:footnote>
  <w:footnote w:type="continuationSeparator" w:id="0">
    <w:p w:rsidR="000C68DC" w:rsidRDefault="000C68DC"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w:t>
    </w:r>
    <w:r w:rsidR="008129F5">
      <w:rPr>
        <w:rFonts w:ascii="Arial Narrow" w:hAnsi="Arial Narrow"/>
        <w:szCs w:val="20"/>
      </w:rPr>
      <w:t xml:space="preserve"> </w:t>
    </w:r>
    <w:r w:rsidRPr="00E70CD6">
      <w:rPr>
        <w:rFonts w:ascii="Arial Narrow" w:hAnsi="Arial Narrow"/>
        <w:szCs w:val="20"/>
      </w:rPr>
      <w:t>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B09"/>
    <w:multiLevelType w:val="hybridMultilevel"/>
    <w:tmpl w:val="E572E8A0"/>
    <w:lvl w:ilvl="0" w:tplc="EB943634">
      <w:start w:val="3"/>
      <w:numFmt w:val="bullet"/>
      <w:lvlText w:val="-"/>
      <w:lvlJc w:val="left"/>
      <w:pPr>
        <w:ind w:left="720" w:hanging="360"/>
      </w:pPr>
      <w:rPr>
        <w:rFonts w:ascii="Arial Narrow" w:eastAsia="Calibri" w:hAnsi="Arial Narrow" w:cs="Times New Roman" w:hint="default"/>
        <w:b/>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7"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0"/>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5055"/>
    <w:rsid w:val="00000C08"/>
    <w:rsid w:val="00002D28"/>
    <w:rsid w:val="00012626"/>
    <w:rsid w:val="000243C6"/>
    <w:rsid w:val="00076DBA"/>
    <w:rsid w:val="000A2C8A"/>
    <w:rsid w:val="000C5887"/>
    <w:rsid w:val="000C68DC"/>
    <w:rsid w:val="000E0B22"/>
    <w:rsid w:val="000E4CF4"/>
    <w:rsid w:val="001036D4"/>
    <w:rsid w:val="00123E2F"/>
    <w:rsid w:val="001257F2"/>
    <w:rsid w:val="00185224"/>
    <w:rsid w:val="00187417"/>
    <w:rsid w:val="001B3466"/>
    <w:rsid w:val="00256EBF"/>
    <w:rsid w:val="00297ED4"/>
    <w:rsid w:val="002A1995"/>
    <w:rsid w:val="002D1876"/>
    <w:rsid w:val="002D2A7F"/>
    <w:rsid w:val="00300583"/>
    <w:rsid w:val="00316A29"/>
    <w:rsid w:val="003954FC"/>
    <w:rsid w:val="003A300F"/>
    <w:rsid w:val="003C337E"/>
    <w:rsid w:val="003D1BF4"/>
    <w:rsid w:val="00402465"/>
    <w:rsid w:val="00402BAB"/>
    <w:rsid w:val="0040403E"/>
    <w:rsid w:val="00454ECA"/>
    <w:rsid w:val="004725B1"/>
    <w:rsid w:val="0047620A"/>
    <w:rsid w:val="004D2157"/>
    <w:rsid w:val="004D3FCC"/>
    <w:rsid w:val="004D6607"/>
    <w:rsid w:val="004E1DFB"/>
    <w:rsid w:val="0053024B"/>
    <w:rsid w:val="005321E3"/>
    <w:rsid w:val="00540B1A"/>
    <w:rsid w:val="00545055"/>
    <w:rsid w:val="00581E44"/>
    <w:rsid w:val="005871B1"/>
    <w:rsid w:val="00592954"/>
    <w:rsid w:val="005B2586"/>
    <w:rsid w:val="005C28C2"/>
    <w:rsid w:val="005D3998"/>
    <w:rsid w:val="006439FC"/>
    <w:rsid w:val="00656645"/>
    <w:rsid w:val="006575E4"/>
    <w:rsid w:val="00660D0D"/>
    <w:rsid w:val="0066697F"/>
    <w:rsid w:val="006A5A0E"/>
    <w:rsid w:val="006B2552"/>
    <w:rsid w:val="006B455F"/>
    <w:rsid w:val="006D39C1"/>
    <w:rsid w:val="006F5C6D"/>
    <w:rsid w:val="0070459B"/>
    <w:rsid w:val="007217F2"/>
    <w:rsid w:val="00785D19"/>
    <w:rsid w:val="007B66A5"/>
    <w:rsid w:val="007E0E9B"/>
    <w:rsid w:val="007F3E27"/>
    <w:rsid w:val="007F75CC"/>
    <w:rsid w:val="008129F5"/>
    <w:rsid w:val="00850036"/>
    <w:rsid w:val="008812C1"/>
    <w:rsid w:val="008875D0"/>
    <w:rsid w:val="008E5C6C"/>
    <w:rsid w:val="008F2E4C"/>
    <w:rsid w:val="008F4323"/>
    <w:rsid w:val="009033F9"/>
    <w:rsid w:val="009212CB"/>
    <w:rsid w:val="00965B78"/>
    <w:rsid w:val="009F2EC2"/>
    <w:rsid w:val="00A1003E"/>
    <w:rsid w:val="00A46D20"/>
    <w:rsid w:val="00A5399E"/>
    <w:rsid w:val="00A54A19"/>
    <w:rsid w:val="00A66778"/>
    <w:rsid w:val="00A86DB3"/>
    <w:rsid w:val="00A935EB"/>
    <w:rsid w:val="00AD3CB3"/>
    <w:rsid w:val="00AE5732"/>
    <w:rsid w:val="00AF5FB0"/>
    <w:rsid w:val="00B16BB4"/>
    <w:rsid w:val="00B51D06"/>
    <w:rsid w:val="00BE5FBA"/>
    <w:rsid w:val="00BF097D"/>
    <w:rsid w:val="00BF7178"/>
    <w:rsid w:val="00C14532"/>
    <w:rsid w:val="00C15837"/>
    <w:rsid w:val="00C2284E"/>
    <w:rsid w:val="00C93963"/>
    <w:rsid w:val="00C972D4"/>
    <w:rsid w:val="00CB112A"/>
    <w:rsid w:val="00CD3EF7"/>
    <w:rsid w:val="00CD53AF"/>
    <w:rsid w:val="00D043B3"/>
    <w:rsid w:val="00D05717"/>
    <w:rsid w:val="00D36EF8"/>
    <w:rsid w:val="00D675DE"/>
    <w:rsid w:val="00D80789"/>
    <w:rsid w:val="00DA7A68"/>
    <w:rsid w:val="00DD30A4"/>
    <w:rsid w:val="00DD6CBD"/>
    <w:rsid w:val="00E53BC2"/>
    <w:rsid w:val="00E70CD6"/>
    <w:rsid w:val="00EE2B73"/>
    <w:rsid w:val="00EF5E3C"/>
    <w:rsid w:val="00EF7AA5"/>
    <w:rsid w:val="00F1205D"/>
    <w:rsid w:val="00F15F7A"/>
    <w:rsid w:val="00F274EA"/>
    <w:rsid w:val="00F3575A"/>
    <w:rsid w:val="00F43712"/>
    <w:rsid w:val="00FA210A"/>
    <w:rsid w:val="00FC3ECF"/>
    <w:rsid w:val="00FD29F1"/>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4E9D"/>
  <w15:docId w15:val="{93C2215E-D641-4FEA-ACB3-60C35D2F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 w:type="character" w:customStyle="1" w:styleId="Obyajntabuka31">
    <w:name w:val="Obyčajná tabuľka 31"/>
    <w:aliases w:val="klasika"/>
    <w:uiPriority w:val="19"/>
    <w:qFormat/>
    <w:rsid w:val="009212CB"/>
    <w:rPr>
      <w:rFonts w:ascii="Times New Roman" w:hAnsi="Times New Roman"/>
      <w:b/>
      <w:iCs/>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913</Words>
  <Characters>5207</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Tomáš Kundrát</cp:lastModifiedBy>
  <cp:revision>5</cp:revision>
  <dcterms:created xsi:type="dcterms:W3CDTF">2020-08-03T14:59:00Z</dcterms:created>
  <dcterms:modified xsi:type="dcterms:W3CDTF">2021-06-16T09:50:00Z</dcterms:modified>
</cp:coreProperties>
</file>