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F24E"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4F5D7825"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4FD70D2A"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0820E96A" w14:textId="77777777" w:rsidR="00E70CD6" w:rsidRPr="00E93D68" w:rsidRDefault="00E70CD6" w:rsidP="001257F2">
      <w:pPr>
        <w:tabs>
          <w:tab w:val="num" w:pos="1080"/>
          <w:tab w:val="left" w:leader="dot" w:pos="10034"/>
        </w:tabs>
        <w:spacing w:before="120"/>
        <w:jc w:val="center"/>
        <w:rPr>
          <w:rFonts w:ascii="Arial Narrow" w:hAnsi="Arial Narrow" w:cs="Arial"/>
          <w:sz w:val="22"/>
        </w:rPr>
      </w:pPr>
    </w:p>
    <w:p w14:paraId="71A74339"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38CAD8FE"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58F368B4"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D04B8D4"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9336506" w14:textId="77777777" w:rsidR="00E70CD6" w:rsidRPr="00E93D68" w:rsidRDefault="00E70CD6" w:rsidP="00E70CD6">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70CD6" w:rsidRPr="00E93D68" w14:paraId="42175DC2" w14:textId="77777777" w:rsidTr="00C15837">
        <w:trPr>
          <w:trHeight w:val="2700"/>
        </w:trPr>
        <w:tc>
          <w:tcPr>
            <w:tcW w:w="9073" w:type="dxa"/>
          </w:tcPr>
          <w:p w14:paraId="13B76003"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7CEB1BD8"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6298159E" w14:textId="77777777" w:rsidR="00E70CD6" w:rsidRPr="00E93D68" w:rsidRDefault="008875D0" w:rsidP="00C15837">
            <w:pPr>
              <w:widowControl w:val="0"/>
              <w:autoSpaceDE w:val="0"/>
              <w:autoSpaceDN w:val="0"/>
              <w:adjustRightInd w:val="0"/>
              <w:jc w:val="center"/>
              <w:rPr>
                <w:rFonts w:ascii="Arial Narrow" w:hAnsi="Arial Narrow" w:cs="Arial"/>
                <w:sz w:val="22"/>
              </w:rPr>
            </w:pPr>
            <w:r>
              <w:rPr>
                <w:rFonts w:ascii="Arial Narrow" w:hAnsi="Arial Narrow" w:cs="Arial"/>
                <w:b/>
                <w:smallCaps/>
                <w:sz w:val="22"/>
              </w:rPr>
              <w:t>Podmienky účasti</w:t>
            </w:r>
          </w:p>
          <w:p w14:paraId="7F823AD1" w14:textId="77777777" w:rsidR="00E70CD6" w:rsidRPr="00E93D68" w:rsidRDefault="00E70CD6" w:rsidP="00C15837">
            <w:pPr>
              <w:spacing w:before="120"/>
              <w:jc w:val="center"/>
              <w:rPr>
                <w:rFonts w:ascii="Arial Narrow" w:hAnsi="Arial Narrow" w:cs="Arial"/>
                <w:sz w:val="22"/>
              </w:rPr>
            </w:pPr>
          </w:p>
        </w:tc>
      </w:tr>
    </w:tbl>
    <w:p w14:paraId="1574C2CE"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3B621ED2"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3E452ACB" w14:textId="77777777" w:rsidR="00E70CD6" w:rsidRDefault="00E70CD6" w:rsidP="00E70CD6">
      <w:pPr>
        <w:widowControl w:val="0"/>
        <w:autoSpaceDE w:val="0"/>
        <w:autoSpaceDN w:val="0"/>
        <w:adjustRightInd w:val="0"/>
        <w:jc w:val="both"/>
        <w:rPr>
          <w:rFonts w:ascii="Arial Narrow" w:hAnsi="Arial Narrow" w:cs="Arial"/>
          <w:b/>
          <w:smallCaps/>
          <w:sz w:val="22"/>
        </w:rPr>
      </w:pPr>
    </w:p>
    <w:p w14:paraId="7E8772AD" w14:textId="77777777" w:rsidR="00E70CD6" w:rsidRDefault="00E70CD6" w:rsidP="00E70CD6">
      <w:pPr>
        <w:widowControl w:val="0"/>
        <w:autoSpaceDE w:val="0"/>
        <w:autoSpaceDN w:val="0"/>
        <w:adjustRightInd w:val="0"/>
        <w:jc w:val="both"/>
        <w:rPr>
          <w:rFonts w:ascii="Arial Narrow" w:hAnsi="Arial Narrow" w:cs="Arial"/>
          <w:b/>
          <w:smallCaps/>
          <w:sz w:val="22"/>
        </w:rPr>
      </w:pPr>
    </w:p>
    <w:p w14:paraId="2D475B3F" w14:textId="77777777" w:rsidR="00E70CD6" w:rsidRDefault="00E70CD6" w:rsidP="00E70CD6">
      <w:pPr>
        <w:widowControl w:val="0"/>
        <w:autoSpaceDE w:val="0"/>
        <w:autoSpaceDN w:val="0"/>
        <w:adjustRightInd w:val="0"/>
        <w:jc w:val="both"/>
        <w:rPr>
          <w:rFonts w:ascii="Arial Narrow" w:hAnsi="Arial Narrow" w:cs="Arial Narrow"/>
          <w:sz w:val="24"/>
          <w:szCs w:val="24"/>
        </w:rPr>
      </w:pPr>
    </w:p>
    <w:p w14:paraId="2584583B" w14:textId="77777777" w:rsidR="00E70CD6" w:rsidRDefault="00E70CD6" w:rsidP="00E70CD6">
      <w:pPr>
        <w:tabs>
          <w:tab w:val="num" w:pos="1080"/>
          <w:tab w:val="left" w:leader="dot" w:pos="10034"/>
        </w:tabs>
        <w:spacing w:before="120"/>
        <w:jc w:val="right"/>
        <w:rPr>
          <w:rFonts w:ascii="Arial Narrow" w:hAnsi="Arial Narrow" w:cs="Arial"/>
          <w:sz w:val="22"/>
        </w:rPr>
      </w:pPr>
    </w:p>
    <w:p w14:paraId="613988D4" w14:textId="77777777" w:rsidR="00E70CD6" w:rsidRDefault="00E70CD6" w:rsidP="00E70CD6">
      <w:pPr>
        <w:tabs>
          <w:tab w:val="num" w:pos="1080"/>
          <w:tab w:val="left" w:leader="dot" w:pos="10034"/>
        </w:tabs>
        <w:spacing w:before="120"/>
        <w:jc w:val="right"/>
        <w:rPr>
          <w:rFonts w:ascii="Arial Narrow" w:hAnsi="Arial Narrow" w:cs="Arial"/>
          <w:sz w:val="22"/>
        </w:rPr>
      </w:pPr>
    </w:p>
    <w:p w14:paraId="77430C19" w14:textId="77777777" w:rsidR="00E70CD6" w:rsidRDefault="00E70CD6" w:rsidP="00E70CD6">
      <w:pPr>
        <w:tabs>
          <w:tab w:val="num" w:pos="1080"/>
          <w:tab w:val="left" w:leader="dot" w:pos="10034"/>
        </w:tabs>
        <w:spacing w:before="120"/>
        <w:jc w:val="right"/>
        <w:rPr>
          <w:rFonts w:ascii="Arial Narrow" w:hAnsi="Arial Narrow" w:cs="Arial"/>
          <w:sz w:val="22"/>
        </w:rPr>
      </w:pPr>
    </w:p>
    <w:p w14:paraId="6234082D" w14:textId="77777777" w:rsidR="001257F2" w:rsidRDefault="001257F2" w:rsidP="00E70CD6">
      <w:pPr>
        <w:tabs>
          <w:tab w:val="num" w:pos="1080"/>
          <w:tab w:val="left" w:leader="dot" w:pos="10034"/>
        </w:tabs>
        <w:spacing w:before="120"/>
        <w:jc w:val="right"/>
        <w:rPr>
          <w:rFonts w:ascii="Arial Narrow" w:hAnsi="Arial Narrow" w:cs="Arial"/>
          <w:sz w:val="22"/>
        </w:rPr>
      </w:pPr>
    </w:p>
    <w:p w14:paraId="012A922C" w14:textId="77777777" w:rsidR="001257F2" w:rsidRDefault="001257F2" w:rsidP="00E70CD6">
      <w:pPr>
        <w:tabs>
          <w:tab w:val="num" w:pos="1080"/>
          <w:tab w:val="left" w:leader="dot" w:pos="10034"/>
        </w:tabs>
        <w:spacing w:before="120"/>
        <w:jc w:val="right"/>
        <w:rPr>
          <w:rFonts w:ascii="Arial Narrow" w:hAnsi="Arial Narrow" w:cs="Arial"/>
          <w:sz w:val="22"/>
        </w:rPr>
      </w:pPr>
    </w:p>
    <w:p w14:paraId="59366412" w14:textId="77777777" w:rsidR="001257F2" w:rsidRDefault="001257F2" w:rsidP="00E70CD6">
      <w:pPr>
        <w:tabs>
          <w:tab w:val="num" w:pos="1080"/>
          <w:tab w:val="left" w:leader="dot" w:pos="10034"/>
        </w:tabs>
        <w:spacing w:before="120"/>
        <w:jc w:val="right"/>
        <w:rPr>
          <w:rFonts w:ascii="Arial Narrow" w:hAnsi="Arial Narrow" w:cs="Arial"/>
          <w:sz w:val="22"/>
        </w:rPr>
      </w:pPr>
    </w:p>
    <w:p w14:paraId="16A9E853" w14:textId="77777777" w:rsidR="001257F2" w:rsidRDefault="001257F2" w:rsidP="00E70CD6">
      <w:pPr>
        <w:tabs>
          <w:tab w:val="num" w:pos="1080"/>
          <w:tab w:val="left" w:leader="dot" w:pos="10034"/>
        </w:tabs>
        <w:spacing w:before="120"/>
        <w:jc w:val="right"/>
        <w:rPr>
          <w:rFonts w:ascii="Arial Narrow" w:hAnsi="Arial Narrow" w:cs="Arial"/>
          <w:sz w:val="22"/>
        </w:rPr>
      </w:pPr>
    </w:p>
    <w:p w14:paraId="0F4278AB" w14:textId="77777777" w:rsidR="00E70CD6" w:rsidRDefault="00E70CD6" w:rsidP="00E70CD6">
      <w:pPr>
        <w:tabs>
          <w:tab w:val="num" w:pos="1080"/>
          <w:tab w:val="left" w:leader="dot" w:pos="10034"/>
        </w:tabs>
        <w:spacing w:before="120"/>
        <w:jc w:val="right"/>
        <w:rPr>
          <w:rFonts w:ascii="Arial Narrow" w:hAnsi="Arial Narrow" w:cs="Arial"/>
          <w:sz w:val="22"/>
        </w:rPr>
      </w:pPr>
    </w:p>
    <w:p w14:paraId="041BFAA9" w14:textId="77777777" w:rsidR="00C15837" w:rsidRDefault="00C15837" w:rsidP="00C15837">
      <w:pPr>
        <w:jc w:val="center"/>
        <w:rPr>
          <w:rFonts w:ascii="Arial Narrow" w:hAnsi="Arial Narrow"/>
          <w:sz w:val="22"/>
        </w:rPr>
      </w:pPr>
      <w:r w:rsidRPr="00D00E19">
        <w:rPr>
          <w:rFonts w:ascii="Arial Narrow" w:hAnsi="Arial Narrow"/>
          <w:b/>
          <w:sz w:val="22"/>
        </w:rPr>
        <w:lastRenderedPageBreak/>
        <w:t>Podmienky účasti</w:t>
      </w:r>
      <w:r w:rsidR="000C5887">
        <w:rPr>
          <w:rFonts w:ascii="Arial Narrow" w:hAnsi="Arial Narrow"/>
          <w:b/>
          <w:sz w:val="22"/>
        </w:rPr>
        <w:t xml:space="preserve"> </w:t>
      </w:r>
    </w:p>
    <w:p w14:paraId="406BE442"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0620A108" w14:textId="7777777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 </w:t>
      </w:r>
    </w:p>
    <w:p w14:paraId="2CCE5659"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2D34EC8" w14:textId="7777777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upozorňuje na znenie podmienok účasti podľa § 32 ods. 1 písm. b) a c) zákona a spôsobu ich preukazovania podľa § 32 ods. 2 písm. c) zákona účinné od 1.12.2019.</w:t>
      </w:r>
    </w:p>
    <w:p w14:paraId="7F81F5D7"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37C1393C"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Hospodársky subjekt môže predbežne nahradiť doklady na preukázanie splnenia podmienok účasti jednotným európskym dokumentom podľa § 39 ods. 1 zákona. </w:t>
      </w:r>
    </w:p>
    <w:p w14:paraId="0ABD949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25F9CD2E" w14:textId="7777777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w:t>
      </w:r>
    </w:p>
    <w:p w14:paraId="7B412843"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DB28848"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22E20A"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76464FBA"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26D9852"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41793E1B"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Doklady, ktoré sa nepredkladajú:</w:t>
      </w:r>
    </w:p>
    <w:p w14:paraId="6350741D"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083795E" w14:textId="77777777"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14:paraId="6ED3D626" w14:textId="77777777"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zdravotnej poisťovne a Sociálnej poisťovne podľa § 32 ods. 1 písm. b) a  ods. 2 písm. b) zákona,</w:t>
      </w:r>
    </w:p>
    <w:p w14:paraId="4FCB6930" w14:textId="77777777"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miestne príslušného daňového úradu a miestne príslušného colného úradu podľa § 32 ods. 1 písm. c) a ods. 2 písm. c) zákona,</w:t>
      </w:r>
    </w:p>
    <w:p w14:paraId="498F3A2B" w14:textId="77777777" w:rsid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6B75466"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122D7931"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Upozornenie:</w:t>
      </w:r>
    </w:p>
    <w:p w14:paraId="758EFFC0" w14:textId="7777777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w:t>
      </w:r>
      <w:r>
        <w:rPr>
          <w:rFonts w:ascii="Arial Narrow" w:hAnsi="Arial Narrow" w:cs="Tahoma"/>
          <w:sz w:val="22"/>
        </w:rPr>
        <w:t>rodné priezvisko, rodné číslo.</w:t>
      </w:r>
    </w:p>
    <w:p w14:paraId="09F65660" w14:textId="77777777" w:rsidR="007B66A5" w:rsidRDefault="007B66A5" w:rsidP="007B66A5">
      <w:pPr>
        <w:autoSpaceDE w:val="0"/>
        <w:autoSpaceDN w:val="0"/>
        <w:adjustRightInd w:val="0"/>
        <w:spacing w:after="0" w:line="240" w:lineRule="auto"/>
        <w:jc w:val="both"/>
        <w:rPr>
          <w:rFonts w:ascii="Arial Narrow" w:hAnsi="Arial Narrow" w:cs="Tahoma"/>
          <w:sz w:val="22"/>
        </w:rPr>
      </w:pPr>
    </w:p>
    <w:p w14:paraId="4A5C4A76" w14:textId="77777777" w:rsidR="003A300F" w:rsidRDefault="003A300F" w:rsidP="006B455F">
      <w:pPr>
        <w:jc w:val="both"/>
        <w:rPr>
          <w:rFonts w:ascii="Arial Narrow" w:hAnsi="Arial Narrow"/>
          <w:b/>
          <w:sz w:val="22"/>
        </w:rPr>
      </w:pPr>
      <w:r>
        <w:rPr>
          <w:rFonts w:ascii="Arial Narrow" w:hAnsi="Arial Narrow"/>
          <w:b/>
          <w:sz w:val="22"/>
        </w:rPr>
        <w:t xml:space="preserve">2. Podmienky účasti uchádzačov vo verejnom obstarávaní týkajúce sa technickej spôsobilosti a odbornej spôsobilosti podľa § 34 zákona. </w:t>
      </w:r>
    </w:p>
    <w:p w14:paraId="51A16370" w14:textId="13D5B7E4" w:rsidR="006B455F" w:rsidRPr="00B51D06" w:rsidRDefault="006B455F" w:rsidP="006B455F">
      <w:pPr>
        <w:jc w:val="both"/>
        <w:rPr>
          <w:rFonts w:ascii="Arial Narrow" w:hAnsi="Arial Narrow"/>
          <w:sz w:val="22"/>
        </w:rPr>
      </w:pPr>
      <w:r w:rsidRPr="006B455F">
        <w:rPr>
          <w:rFonts w:ascii="Arial Narrow" w:hAnsi="Arial Narrow"/>
          <w:b/>
          <w:sz w:val="22"/>
        </w:rPr>
        <w:t>2.1</w:t>
      </w:r>
      <w:r w:rsidRPr="006B455F">
        <w:rPr>
          <w:rFonts w:ascii="Arial Narrow" w:hAnsi="Arial Narrow"/>
          <w:b/>
          <w:sz w:val="22"/>
        </w:rPr>
        <w:tab/>
      </w:r>
      <w:r w:rsidRPr="006B2552">
        <w:rPr>
          <w:rFonts w:ascii="Arial Narrow" w:hAnsi="Arial Narrow"/>
          <w:b/>
          <w:sz w:val="22"/>
        </w:rPr>
        <w:t>podľa § 34 ods.1 písm. a) zákona - zoznamom dodávok</w:t>
      </w:r>
      <w:r w:rsidR="00581E44">
        <w:rPr>
          <w:rFonts w:ascii="Arial Narrow" w:hAnsi="Arial Narrow"/>
          <w:b/>
          <w:sz w:val="22"/>
        </w:rPr>
        <w:t xml:space="preserve"> tovarov</w:t>
      </w:r>
      <w:r w:rsidRPr="006B2552">
        <w:rPr>
          <w:rFonts w:ascii="Arial Narrow" w:hAnsi="Arial Narrow"/>
          <w:b/>
          <w:sz w:val="22"/>
        </w:rPr>
        <w:t xml:space="preserve"> za predchádzajúce tri roky (36 mesiacov) od vyhlásenia verejného obstarávania </w:t>
      </w:r>
      <w:r w:rsidRPr="006B2552">
        <w:rPr>
          <w:rFonts w:ascii="Arial Narrow" w:hAnsi="Arial Narrow"/>
          <w:sz w:val="22"/>
        </w:rPr>
        <w:t xml:space="preserve">(za vyhlásenie verejného obstarávania sa považuje </w:t>
      </w:r>
      <w:r w:rsidRPr="006B2552">
        <w:rPr>
          <w:rFonts w:ascii="Arial Narrow" w:hAnsi="Arial Narrow"/>
          <w:sz w:val="22"/>
        </w:rPr>
        <w:lastRenderedPageBreak/>
        <w:t>zverejnenie oznámenia</w:t>
      </w:r>
      <w:r w:rsidRPr="00B51D06">
        <w:rPr>
          <w:rFonts w:ascii="Arial Narrow" w:hAnsi="Arial Narrow"/>
          <w:sz w:val="22"/>
        </w:rPr>
        <w:t xml:space="preserve"> o vyhlásení verejného obstarávania v Úradnom vestníku EÚ (ďalej len „rozhodné obdobie“), s uvedením cien, lehôt dodania a odberateľov; dokladom je referencia, ak odberateľom bol verejný obstarávateľ alebo obstarávateľ podľa zákona.</w:t>
      </w:r>
    </w:p>
    <w:p w14:paraId="37709FF9" w14:textId="77777777" w:rsidR="006B455F" w:rsidRPr="006B2552" w:rsidRDefault="006B455F" w:rsidP="006B455F">
      <w:pPr>
        <w:rPr>
          <w:rFonts w:ascii="Arial Narrow" w:hAnsi="Arial Narrow"/>
          <w:b/>
          <w:sz w:val="22"/>
        </w:rPr>
      </w:pPr>
      <w:r w:rsidRPr="006B2552">
        <w:rPr>
          <w:rFonts w:ascii="Arial Narrow" w:hAnsi="Arial Narrow"/>
          <w:b/>
          <w:sz w:val="22"/>
        </w:rPr>
        <w:t>Minimálna požadovaná úroveň štandardov:</w:t>
      </w:r>
    </w:p>
    <w:p w14:paraId="76B5D697" w14:textId="22CF9518" w:rsidR="006B455F" w:rsidRPr="00B16BB4" w:rsidRDefault="006B455F" w:rsidP="006B455F">
      <w:pPr>
        <w:jc w:val="both"/>
        <w:rPr>
          <w:rFonts w:ascii="Arial Narrow" w:hAnsi="Arial Narrow"/>
          <w:sz w:val="22"/>
          <w:u w:val="single"/>
        </w:rPr>
      </w:pPr>
      <w:r w:rsidRPr="006B2552">
        <w:rPr>
          <w:rFonts w:ascii="Arial Narrow" w:hAnsi="Arial Narrow"/>
          <w:sz w:val="22"/>
          <w:u w:val="single"/>
        </w:rPr>
        <w:t xml:space="preserve">Predložený zoznam dodávok tovarov rovnakého charakteru ako je predmet zákazky za rozhodné obdobie musí </w:t>
      </w:r>
      <w:r w:rsidR="00C2284E" w:rsidRPr="006B2552">
        <w:rPr>
          <w:rFonts w:ascii="Arial Narrow" w:hAnsi="Arial Narrow"/>
          <w:sz w:val="22"/>
          <w:u w:val="single"/>
        </w:rPr>
        <w:t>obsahovať  dodávky v</w:t>
      </w:r>
      <w:r w:rsidR="006575E4">
        <w:rPr>
          <w:rFonts w:ascii="Arial Narrow" w:hAnsi="Arial Narrow"/>
          <w:sz w:val="22"/>
          <w:u w:val="single"/>
        </w:rPr>
        <w:t xml:space="preserve"> súhrnnom </w:t>
      </w:r>
      <w:r w:rsidR="00C2284E" w:rsidRPr="006B2552">
        <w:rPr>
          <w:rFonts w:ascii="Arial Narrow" w:hAnsi="Arial Narrow"/>
          <w:sz w:val="22"/>
          <w:u w:val="single"/>
        </w:rPr>
        <w:t>objeme minimálne 120 000 litrov univerzálneho syntetického penidla, pričom jedna</w:t>
      </w:r>
      <w:r w:rsidRPr="006B2552">
        <w:rPr>
          <w:rFonts w:ascii="Arial Narrow" w:hAnsi="Arial Narrow"/>
          <w:sz w:val="22"/>
          <w:u w:val="single"/>
        </w:rPr>
        <w:t xml:space="preserve"> dodávka mu</w:t>
      </w:r>
      <w:r w:rsidR="00C2284E" w:rsidRPr="006B2552">
        <w:rPr>
          <w:rFonts w:ascii="Arial Narrow" w:hAnsi="Arial Narrow"/>
          <w:sz w:val="22"/>
          <w:u w:val="single"/>
        </w:rPr>
        <w:t xml:space="preserve">sí byť v objeme min. 60 000 litrov univerzálneho syntetického penidla.  </w:t>
      </w:r>
    </w:p>
    <w:p w14:paraId="38F65578" w14:textId="77777777" w:rsidR="006B455F" w:rsidRPr="006B455F" w:rsidRDefault="006B455F" w:rsidP="006B455F">
      <w:pPr>
        <w:jc w:val="both"/>
        <w:rPr>
          <w:rFonts w:ascii="Arial Narrow" w:hAnsi="Arial Narrow"/>
          <w:sz w:val="22"/>
        </w:rPr>
      </w:pPr>
      <w:r w:rsidRPr="006B455F">
        <w:rPr>
          <w:rFonts w:ascii="Arial Narrow" w:hAnsi="Arial Narrow"/>
          <w:sz w:val="22"/>
        </w:rPr>
        <w:t xml:space="preserve">Zo zoznamu dodávok tovaru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w:t>
      </w:r>
    </w:p>
    <w:p w14:paraId="5D39A4C0" w14:textId="77777777" w:rsidR="003A300F" w:rsidRDefault="006B455F" w:rsidP="006B455F">
      <w:pPr>
        <w:jc w:val="both"/>
        <w:rPr>
          <w:rFonts w:ascii="Arial Narrow" w:hAnsi="Arial Narrow"/>
          <w:sz w:val="22"/>
        </w:rPr>
      </w:pPr>
      <w:r w:rsidRPr="006B455F">
        <w:rPr>
          <w:rFonts w:ascii="Arial Narrow" w:hAnsi="Arial Narrow"/>
          <w:sz w:val="22"/>
        </w:rPr>
        <w:t>Ak odberateľom bol verejný obstarávateľ alebo obstarávateľ podľa tohto zákona, súčasťou zoznamu dodávok tovaru musia byť referencia/referencie alebo ekvivalentný/ekvivalentné doklad/doklady v súlade so zákonom.</w:t>
      </w:r>
    </w:p>
    <w:p w14:paraId="07723085" w14:textId="77777777" w:rsidR="008F4323" w:rsidRPr="006B455F" w:rsidRDefault="008F4323" w:rsidP="006B455F">
      <w:pPr>
        <w:jc w:val="both"/>
        <w:rPr>
          <w:rFonts w:ascii="Arial Narrow" w:hAnsi="Arial Narrow"/>
          <w:sz w:val="22"/>
        </w:rPr>
      </w:pPr>
    </w:p>
    <w:p w14:paraId="42BC1ED4" w14:textId="77777777" w:rsidR="006B455F" w:rsidRDefault="003A300F" w:rsidP="00F02D2E">
      <w:pPr>
        <w:pStyle w:val="Bezriadkovania"/>
        <w:rPr>
          <w:lang w:eastAsia="sk-SK"/>
        </w:rPr>
      </w:pPr>
      <w:r>
        <w:rPr>
          <w:lang w:eastAsia="sk-SK"/>
        </w:rPr>
        <w:t xml:space="preserve">Podľa § 34 ods.1 písm. m) zákona. </w:t>
      </w:r>
    </w:p>
    <w:p w14:paraId="45F793EA" w14:textId="77777777" w:rsidR="003A300F" w:rsidRPr="006B455F" w:rsidRDefault="006B455F" w:rsidP="006B455F">
      <w:pPr>
        <w:jc w:val="both"/>
        <w:rPr>
          <w:rFonts w:ascii="Arial Narrow" w:hAnsi="Arial Narrow"/>
          <w:b/>
          <w:sz w:val="22"/>
          <w:lang w:eastAsia="sk-SK"/>
        </w:rPr>
      </w:pPr>
      <w:r>
        <w:rPr>
          <w:rFonts w:ascii="Arial Narrow" w:hAnsi="Arial Narrow"/>
          <w:b/>
          <w:lang w:eastAsia="sk-SK"/>
        </w:rPr>
        <w:t xml:space="preserve">2.2 </w:t>
      </w:r>
      <w:r>
        <w:rPr>
          <w:rFonts w:ascii="Arial Narrow" w:hAnsi="Arial Narrow"/>
          <w:b/>
          <w:lang w:eastAsia="sk-SK"/>
        </w:rPr>
        <w:tab/>
      </w:r>
      <w:r w:rsidR="003A300F" w:rsidRPr="00002D28">
        <w:rPr>
          <w:rFonts w:ascii="Arial Narrow" w:hAnsi="Arial Narrow" w:cs="Segoe UI"/>
          <w:b/>
          <w:sz w:val="22"/>
          <w:shd w:val="clear" w:color="auto" w:fill="FFFFFF"/>
        </w:rPr>
        <w:t xml:space="preserve">vzorkami, opismi alebo fotografiami, ktorých pravosť musí byť overená, ak to verejný obstarávateľ vyžaduje </w:t>
      </w:r>
    </w:p>
    <w:p w14:paraId="45F25D3C" w14:textId="77777777" w:rsidR="003A300F" w:rsidRDefault="003A300F" w:rsidP="003A300F">
      <w:pPr>
        <w:rPr>
          <w:rFonts w:ascii="Arial Narrow" w:hAnsi="Arial Narrow"/>
          <w:b/>
          <w:sz w:val="22"/>
        </w:rPr>
      </w:pPr>
      <w:r>
        <w:rPr>
          <w:rFonts w:ascii="Arial Narrow" w:hAnsi="Arial Narrow" w:cs="Segoe UI"/>
          <w:sz w:val="22"/>
          <w:shd w:val="clear" w:color="auto" w:fill="FFFFFF"/>
        </w:rPr>
        <w:t>Minimálna požadovaná úroveň:</w:t>
      </w:r>
    </w:p>
    <w:p w14:paraId="7DEFAFD8" w14:textId="77777777" w:rsidR="006B455F" w:rsidRDefault="003A300F" w:rsidP="006B455F">
      <w:pPr>
        <w:spacing w:after="0" w:line="240" w:lineRule="auto"/>
        <w:ind w:left="567"/>
        <w:jc w:val="both"/>
        <w:rPr>
          <w:rFonts w:ascii="Arial Narrow" w:hAnsi="Arial Narrow"/>
          <w:sz w:val="22"/>
        </w:rPr>
      </w:pPr>
      <w:r>
        <w:rPr>
          <w:rFonts w:ascii="Arial Narrow" w:hAnsi="Arial Narrow"/>
          <w:sz w:val="22"/>
        </w:rPr>
        <w:t>Verejný obstar</w:t>
      </w:r>
      <w:r w:rsidR="006B455F">
        <w:rPr>
          <w:rFonts w:ascii="Arial Narrow" w:hAnsi="Arial Narrow"/>
          <w:sz w:val="22"/>
        </w:rPr>
        <w:t>ávateľ požaduje predložiť vzorku tovaru, ktorý</w:t>
      </w:r>
      <w:r>
        <w:rPr>
          <w:rFonts w:ascii="Arial Narrow" w:hAnsi="Arial Narrow"/>
          <w:sz w:val="22"/>
        </w:rPr>
        <w:t xml:space="preserve"> má uchádzač v rámci plnenia Kúpnej zmluvy dodať a to v súlade s technickou špecifikáciou uvedenej v prílohe č. 1 – Opis predmetu zákazky súťažných podkladov nasledovne:</w:t>
      </w:r>
    </w:p>
    <w:p w14:paraId="6F39E4A2" w14:textId="77777777" w:rsidR="006B455F" w:rsidRDefault="006B455F" w:rsidP="006B455F">
      <w:pPr>
        <w:spacing w:after="0" w:line="240" w:lineRule="auto"/>
        <w:ind w:left="567"/>
        <w:jc w:val="both"/>
        <w:rPr>
          <w:rFonts w:ascii="Arial Narrow" w:hAnsi="Arial Narrow"/>
          <w:sz w:val="22"/>
        </w:rPr>
      </w:pPr>
    </w:p>
    <w:p w14:paraId="1B04FBBD" w14:textId="77777777" w:rsidR="006B455F" w:rsidRPr="006B455F" w:rsidRDefault="006D39C1" w:rsidP="006D39C1">
      <w:pPr>
        <w:pStyle w:val="Odsekzoznamu"/>
        <w:numPr>
          <w:ilvl w:val="0"/>
          <w:numId w:val="10"/>
        </w:numPr>
        <w:spacing w:after="0" w:line="240" w:lineRule="auto"/>
        <w:jc w:val="both"/>
        <w:rPr>
          <w:rFonts w:ascii="Arial Narrow" w:hAnsi="Arial Narrow"/>
          <w:b/>
          <w:sz w:val="22"/>
        </w:rPr>
      </w:pPr>
      <w:r>
        <w:rPr>
          <w:rFonts w:ascii="Arial Narrow" w:hAnsi="Arial Narrow"/>
          <w:b/>
          <w:sz w:val="22"/>
        </w:rPr>
        <w:t>u</w:t>
      </w:r>
      <w:r w:rsidRPr="006D39C1">
        <w:rPr>
          <w:rFonts w:ascii="Arial Narrow" w:hAnsi="Arial Narrow"/>
          <w:b/>
          <w:sz w:val="22"/>
        </w:rPr>
        <w:t>niverzálne syntetické penidlo</w:t>
      </w:r>
      <w:r>
        <w:rPr>
          <w:rFonts w:ascii="Arial Narrow" w:hAnsi="Arial Narrow"/>
          <w:b/>
          <w:sz w:val="22"/>
        </w:rPr>
        <w:t xml:space="preserve"> </w:t>
      </w:r>
      <w:r w:rsidR="006B455F" w:rsidRPr="006B455F">
        <w:rPr>
          <w:rFonts w:ascii="Arial Narrow" w:hAnsi="Arial Narrow"/>
          <w:b/>
          <w:sz w:val="22"/>
        </w:rPr>
        <w:t>(minimálne 25 litrov v originálnom balení).</w:t>
      </w:r>
    </w:p>
    <w:p w14:paraId="293A2FE5" w14:textId="77777777" w:rsidR="006B455F" w:rsidRPr="006B455F" w:rsidRDefault="006B455F" w:rsidP="006B455F">
      <w:pPr>
        <w:pStyle w:val="Odsekzoznamu"/>
        <w:spacing w:after="0" w:line="240" w:lineRule="auto"/>
        <w:ind w:left="927"/>
        <w:jc w:val="both"/>
        <w:rPr>
          <w:rFonts w:ascii="Arial Narrow" w:hAnsi="Arial Narrow"/>
          <w:sz w:val="22"/>
        </w:rPr>
      </w:pPr>
    </w:p>
    <w:p w14:paraId="5F95723E" w14:textId="4D92021B" w:rsidR="00BF7178" w:rsidRPr="00BF7178" w:rsidRDefault="006F5C6D" w:rsidP="00BF7178">
      <w:pPr>
        <w:jc w:val="both"/>
        <w:rPr>
          <w:rFonts w:ascii="Arial Narrow" w:hAnsi="Arial Narrow"/>
          <w:sz w:val="22"/>
        </w:rPr>
      </w:pPr>
      <w:r w:rsidRPr="00684469">
        <w:rPr>
          <w:rFonts w:ascii="Arial Narrow" w:hAnsi="Arial Narrow"/>
          <w:sz w:val="22"/>
        </w:rPr>
        <w:t>P</w:t>
      </w:r>
      <w:r w:rsidR="006B455F">
        <w:rPr>
          <w:rFonts w:ascii="Arial Narrow" w:hAnsi="Arial Narrow"/>
          <w:sz w:val="22"/>
        </w:rPr>
        <w:t xml:space="preserve">redložená vzorka </w:t>
      </w:r>
      <w:r w:rsidR="00BF7178">
        <w:rPr>
          <w:rFonts w:ascii="Arial Narrow" w:hAnsi="Arial Narrow"/>
          <w:sz w:val="22"/>
        </w:rPr>
        <w:t xml:space="preserve">víťazného uchádzača </w:t>
      </w:r>
      <w:r w:rsidR="006B455F">
        <w:rPr>
          <w:rFonts w:ascii="Arial Narrow" w:hAnsi="Arial Narrow"/>
          <w:sz w:val="22"/>
        </w:rPr>
        <w:t>zostáva</w:t>
      </w:r>
      <w:r w:rsidRPr="00684469">
        <w:rPr>
          <w:rFonts w:ascii="Arial Narrow" w:hAnsi="Arial Narrow"/>
          <w:sz w:val="22"/>
        </w:rPr>
        <w:t xml:space="preserve"> po ukončení verejného obstarávania v dispozíci</w:t>
      </w:r>
      <w:r w:rsidR="006B455F">
        <w:rPr>
          <w:rFonts w:ascii="Arial Narrow" w:hAnsi="Arial Narrow"/>
          <w:sz w:val="22"/>
        </w:rPr>
        <w:t>i verejného obstarávateľa a bude</w:t>
      </w:r>
      <w:r w:rsidRPr="00684469">
        <w:rPr>
          <w:rFonts w:ascii="Arial Narrow" w:hAnsi="Arial Narrow"/>
          <w:sz w:val="22"/>
        </w:rPr>
        <w:t xml:space="preserve"> v prípade úspešného uchádzača slúž</w:t>
      </w:r>
      <w:r>
        <w:rPr>
          <w:rFonts w:ascii="Arial Narrow" w:hAnsi="Arial Narrow"/>
          <w:sz w:val="22"/>
        </w:rPr>
        <w:t>iť počas trvania Kúpnej zmluvy</w:t>
      </w:r>
      <w:r w:rsidRPr="00684469">
        <w:rPr>
          <w:rFonts w:ascii="Arial Narrow" w:hAnsi="Arial Narrow"/>
          <w:sz w:val="22"/>
        </w:rPr>
        <w:t xml:space="preserve"> na overovanie č</w:t>
      </w:r>
      <w:r w:rsidR="006B455F">
        <w:rPr>
          <w:rFonts w:ascii="Arial Narrow" w:hAnsi="Arial Narrow"/>
          <w:sz w:val="22"/>
        </w:rPr>
        <w:t>i dodaný Tovar zodpovedá Vzorke, ktorú</w:t>
      </w:r>
      <w:r w:rsidRPr="00684469">
        <w:rPr>
          <w:rFonts w:ascii="Arial Narrow" w:hAnsi="Arial Narrow"/>
          <w:sz w:val="22"/>
        </w:rPr>
        <w:t xml:space="preserve"> Predávajúci predložil v rámci ponuky</w:t>
      </w:r>
      <w:r w:rsidR="00BF7178">
        <w:rPr>
          <w:rFonts w:ascii="Arial Narrow" w:hAnsi="Arial Narrow"/>
          <w:sz w:val="22"/>
        </w:rPr>
        <w:t xml:space="preserve">. </w:t>
      </w:r>
      <w:r w:rsidR="00BF7178" w:rsidRPr="00BF7178">
        <w:rPr>
          <w:rFonts w:ascii="Arial Narrow" w:hAnsi="Arial Narrow"/>
          <w:sz w:val="22"/>
        </w:rPr>
        <w:t>Po nadobud</w:t>
      </w:r>
      <w:r w:rsidR="00BF7178">
        <w:rPr>
          <w:rFonts w:ascii="Arial Narrow" w:hAnsi="Arial Narrow"/>
          <w:sz w:val="22"/>
        </w:rPr>
        <w:t>nutí účinnosti Kúpnej zmluvy</w:t>
      </w:r>
      <w:r w:rsidR="00BF7178" w:rsidRPr="00BF7178">
        <w:rPr>
          <w:rFonts w:ascii="Arial Narrow" w:hAnsi="Arial Narrow"/>
          <w:sz w:val="22"/>
        </w:rPr>
        <w:t xml:space="preserve">, verejný obstarávateľ vráti predložené vzorky </w:t>
      </w:r>
      <w:r w:rsidR="00BF7178">
        <w:rPr>
          <w:rFonts w:ascii="Arial Narrow" w:hAnsi="Arial Narrow"/>
          <w:sz w:val="22"/>
        </w:rPr>
        <w:t xml:space="preserve">neúspešným </w:t>
      </w:r>
      <w:r w:rsidR="00BF7178" w:rsidRPr="00BF7178">
        <w:rPr>
          <w:rFonts w:ascii="Arial Narrow" w:hAnsi="Arial Narrow"/>
          <w:sz w:val="22"/>
        </w:rPr>
        <w:t>uchádzačom.</w:t>
      </w:r>
    </w:p>
    <w:p w14:paraId="5A9F2802" w14:textId="77777777" w:rsidR="00DD6CBD" w:rsidRDefault="00DD6CBD" w:rsidP="006F5C6D">
      <w:pPr>
        <w:autoSpaceDE w:val="0"/>
        <w:autoSpaceDN w:val="0"/>
        <w:adjustRightInd w:val="0"/>
        <w:spacing w:after="0" w:line="240" w:lineRule="auto"/>
        <w:jc w:val="both"/>
        <w:rPr>
          <w:rFonts w:ascii="Arial Narrow" w:hAnsi="Arial Narrow"/>
          <w:sz w:val="22"/>
        </w:rPr>
      </w:pPr>
    </w:p>
    <w:p w14:paraId="26CEAF18" w14:textId="77777777" w:rsidR="00DD6CBD" w:rsidRPr="003A300F" w:rsidRDefault="00DD6CBD" w:rsidP="00DD6CBD">
      <w:pPr>
        <w:autoSpaceDE w:val="0"/>
        <w:autoSpaceDN w:val="0"/>
        <w:adjustRightInd w:val="0"/>
        <w:spacing w:after="0" w:line="240" w:lineRule="auto"/>
        <w:jc w:val="both"/>
        <w:rPr>
          <w:rFonts w:ascii="Arial Narrow" w:hAnsi="Arial Narrow"/>
          <w:sz w:val="22"/>
        </w:rPr>
      </w:pPr>
      <w:r w:rsidRPr="00DD30A4">
        <w:rPr>
          <w:rFonts w:ascii="Arial Narrow" w:hAnsi="Arial Narrow"/>
          <w:sz w:val="22"/>
        </w:rPr>
        <w:t>Vzorky sa predkladajú</w:t>
      </w:r>
      <w:r w:rsidRPr="00DD30A4">
        <w:rPr>
          <w:rFonts w:ascii="Arial Narrow" w:hAnsi="Arial Narrow"/>
          <w:b/>
          <w:sz w:val="22"/>
        </w:rPr>
        <w:t xml:space="preserve"> </w:t>
      </w:r>
      <w:r w:rsidRPr="00DD30A4">
        <w:rPr>
          <w:rFonts w:ascii="Arial Narrow" w:hAnsi="Arial Narrow"/>
          <w:sz w:val="22"/>
        </w:rPr>
        <w:t>v uzavretom, prípadne zapečatenom obale, zabezpečenom proti nežiaducemu</w:t>
      </w:r>
      <w:r w:rsidRPr="003A300F">
        <w:rPr>
          <w:rFonts w:ascii="Arial Narrow" w:hAnsi="Arial Narrow"/>
          <w:sz w:val="22"/>
        </w:rPr>
        <w:t xml:space="preserve"> otvoreniu a na ktorom budú uvedené nasledovné údaje:</w:t>
      </w:r>
    </w:p>
    <w:p w14:paraId="621FE171" w14:textId="77777777" w:rsidR="00DD6CBD" w:rsidRPr="003A300F" w:rsidRDefault="00DD6CBD" w:rsidP="00F02D2E">
      <w:pPr>
        <w:pStyle w:val="Bezriadkovania"/>
      </w:pPr>
      <w:r w:rsidRPr="003A300F">
        <w:t>-</w:t>
      </w:r>
      <w:r w:rsidRPr="003A300F">
        <w:tab/>
        <w:t xml:space="preserve">adresa </w:t>
      </w:r>
      <w:r>
        <w:t>v</w:t>
      </w:r>
      <w:r w:rsidRPr="003A300F">
        <w:t>erejného obstarávateľa (Objednávateľa): Ministerstvo vnútra Slovenskej republiky, Odbor verejného obstarávania, Pribinova 2, 812 72 Bratislava,</w:t>
      </w:r>
    </w:p>
    <w:p w14:paraId="7C188EF4" w14:textId="77777777" w:rsidR="00DD6CBD" w:rsidRPr="003A300F" w:rsidRDefault="00DD6CBD" w:rsidP="00F02D2E">
      <w:pPr>
        <w:pStyle w:val="Bezriadkovania"/>
      </w:pPr>
      <w:r w:rsidRPr="003A300F">
        <w:t>-</w:t>
      </w:r>
      <w:r w:rsidRPr="003A300F">
        <w:tab/>
        <w:t>obchodné meno a sídlo, resp. miesto podnikania uchádzača alebo obchodné mená a sídla, resp. miesta podnikania všetkých členov skupiny dodávateľov,</w:t>
      </w:r>
    </w:p>
    <w:p w14:paraId="55311DDA" w14:textId="77777777" w:rsidR="00DD6CBD" w:rsidRPr="003A300F" w:rsidRDefault="00DD6CBD" w:rsidP="00F02D2E">
      <w:pPr>
        <w:pStyle w:val="Bezriadkovania"/>
      </w:pPr>
      <w:r w:rsidRPr="003A300F">
        <w:t>-</w:t>
      </w:r>
      <w:r w:rsidRPr="003A300F">
        <w:tab/>
        <w:t>označenie „VEREJNÁ SÚŤAŽ – NEOTVÁRAŤ“,</w:t>
      </w:r>
    </w:p>
    <w:p w14:paraId="58530DBC" w14:textId="77777777" w:rsidR="00DD6CBD" w:rsidRDefault="00DD6CBD" w:rsidP="00F02D2E">
      <w:pPr>
        <w:pStyle w:val="Bezriadkovania"/>
      </w:pPr>
      <w:r w:rsidRPr="003A300F">
        <w:t>-</w:t>
      </w:r>
      <w:r w:rsidRPr="003A300F">
        <w:tab/>
        <w:t>označenie heslom súťaže „</w:t>
      </w:r>
      <w:r w:rsidR="006D39C1" w:rsidRPr="006D39C1">
        <w:t>Univerzálne syntetické penidlo</w:t>
      </w:r>
      <w:r w:rsidRPr="003A300F">
        <w:t>“</w:t>
      </w:r>
      <w:r w:rsidR="00581E44">
        <w:t>.</w:t>
      </w:r>
    </w:p>
    <w:p w14:paraId="0542C176" w14:textId="77777777" w:rsidR="00DD6CBD" w:rsidRDefault="00DD6CBD" w:rsidP="00F02D2E">
      <w:pPr>
        <w:pStyle w:val="Bezriadkovania"/>
      </w:pPr>
    </w:p>
    <w:p w14:paraId="6D048F60" w14:textId="10977D75" w:rsidR="00DD6CBD" w:rsidRDefault="00DD6CBD" w:rsidP="00DD6CBD">
      <w:pPr>
        <w:autoSpaceDE w:val="0"/>
        <w:autoSpaceDN w:val="0"/>
        <w:adjustRightInd w:val="0"/>
        <w:spacing w:after="0" w:line="240" w:lineRule="auto"/>
        <w:jc w:val="both"/>
        <w:rPr>
          <w:rFonts w:ascii="Arial Narrow" w:hAnsi="Arial Narrow"/>
          <w:b/>
          <w:sz w:val="22"/>
        </w:rPr>
      </w:pPr>
      <w:r>
        <w:rPr>
          <w:rFonts w:ascii="Arial Narrow" w:hAnsi="Arial Narrow"/>
          <w:b/>
          <w:sz w:val="22"/>
        </w:rPr>
        <w:t>V súlade s ustanovením § 20 ods. 7 písm. d) zákona je vzork</w:t>
      </w:r>
      <w:r w:rsidR="00581E44">
        <w:rPr>
          <w:rFonts w:ascii="Arial Narrow" w:hAnsi="Arial Narrow"/>
          <w:b/>
          <w:sz w:val="22"/>
        </w:rPr>
        <w:t>u</w:t>
      </w:r>
      <w:r>
        <w:rPr>
          <w:rFonts w:ascii="Arial Narrow" w:hAnsi="Arial Narrow"/>
          <w:b/>
          <w:sz w:val="22"/>
        </w:rPr>
        <w:t xml:space="preserve"> potrebné doručiť v lehote na predkladanie ponúk na adresu: Ministerstvo vnútra Slovenskej republiky, Pribinova 2, 812 72 Bratislava. V prípade osobného doručenia v pracovných dňoch v čase od 08:30 do 15:00 hod.</w:t>
      </w:r>
    </w:p>
    <w:p w14:paraId="62FD48F7" w14:textId="77777777" w:rsidR="00DD6CBD" w:rsidRDefault="00DD6CBD" w:rsidP="006F5C6D">
      <w:pPr>
        <w:autoSpaceDE w:val="0"/>
        <w:autoSpaceDN w:val="0"/>
        <w:adjustRightInd w:val="0"/>
        <w:spacing w:after="0" w:line="240" w:lineRule="auto"/>
        <w:jc w:val="both"/>
        <w:rPr>
          <w:rFonts w:ascii="Arial Narrow" w:hAnsi="Arial Narrow"/>
          <w:sz w:val="22"/>
        </w:rPr>
      </w:pPr>
    </w:p>
    <w:p w14:paraId="29E50592" w14:textId="77777777" w:rsidR="006F5C6D" w:rsidRDefault="006F5C6D" w:rsidP="00002D28">
      <w:pPr>
        <w:pStyle w:val="Odsekzoznamu"/>
        <w:ind w:left="927"/>
        <w:rPr>
          <w:rFonts w:ascii="Arial Narrow" w:hAnsi="Arial Narrow"/>
          <w:sz w:val="22"/>
        </w:rPr>
      </w:pPr>
    </w:p>
    <w:p w14:paraId="521383B6" w14:textId="77777777" w:rsidR="006D39C1" w:rsidRDefault="006B455F" w:rsidP="006D39C1">
      <w:pPr>
        <w:jc w:val="both"/>
        <w:rPr>
          <w:rFonts w:ascii="Arial Narrow" w:hAnsi="Arial Narrow"/>
          <w:b/>
          <w:sz w:val="22"/>
        </w:rPr>
      </w:pPr>
      <w:r>
        <w:rPr>
          <w:rFonts w:ascii="Arial Narrow" w:hAnsi="Arial Narrow"/>
          <w:b/>
          <w:sz w:val="22"/>
        </w:rPr>
        <w:lastRenderedPageBreak/>
        <w:t xml:space="preserve">2.3 </w:t>
      </w:r>
      <w:r>
        <w:rPr>
          <w:rFonts w:ascii="Arial Narrow" w:hAnsi="Arial Narrow"/>
          <w:b/>
          <w:sz w:val="22"/>
        </w:rPr>
        <w:tab/>
      </w:r>
      <w:r w:rsidR="00002D28" w:rsidRPr="006B455F">
        <w:rPr>
          <w:rFonts w:ascii="Arial Narrow" w:hAnsi="Arial Narrow"/>
          <w:b/>
          <w:sz w:val="22"/>
        </w:rPr>
        <w:t>certifikátmi alebo potvrdeniami s jasne identifikovanými odkazmi na technické normy vzťahujúce sa na tovar, vydanými orgánmi kontroly kvality alebo určenými orgánmi s právomocou kontrolovať zhodu</w:t>
      </w:r>
      <w:r w:rsidR="008F4323">
        <w:rPr>
          <w:rFonts w:ascii="Arial Narrow" w:hAnsi="Arial Narrow"/>
          <w:b/>
          <w:sz w:val="22"/>
        </w:rPr>
        <w:t xml:space="preserve">, </w:t>
      </w:r>
      <w:r w:rsidR="008F4323" w:rsidRPr="008F4323">
        <w:rPr>
          <w:rFonts w:ascii="Arial Narrow" w:hAnsi="Arial Narrow"/>
          <w:b/>
          <w:sz w:val="22"/>
          <w:u w:val="single"/>
        </w:rPr>
        <w:t>elektronicky, funkcionalitou EKS</w:t>
      </w:r>
      <w:r w:rsidR="00F1205D" w:rsidRPr="006B455F">
        <w:rPr>
          <w:rFonts w:ascii="Arial Narrow" w:hAnsi="Arial Narrow"/>
          <w:b/>
          <w:sz w:val="22"/>
        </w:rPr>
        <w:t>:</w:t>
      </w:r>
    </w:p>
    <w:p w14:paraId="4C679689" w14:textId="73FA5525" w:rsidR="00F02D2E" w:rsidRPr="00F02D2E" w:rsidRDefault="00F02D2E" w:rsidP="00F02D2E">
      <w:pPr>
        <w:pStyle w:val="Bezriadkovania"/>
      </w:pPr>
      <w:r w:rsidRPr="00F02D2E">
        <w:t xml:space="preserve">certifikát výrobku podľa </w:t>
      </w:r>
      <w:r w:rsidRPr="00531789">
        <w:t>STN EN 1568-1:2018-08</w:t>
      </w:r>
      <w:r w:rsidRPr="00F02D2E">
        <w:t xml:space="preserve">, </w:t>
      </w:r>
      <w:r w:rsidRPr="00531789">
        <w:t xml:space="preserve">STN EN 1568-2:2018-08, STN EN 1568-3:2018-09 </w:t>
      </w:r>
      <w:r w:rsidRPr="00F02D2E">
        <w:t xml:space="preserve">alebo náležitosti podľa zákona </w:t>
      </w:r>
      <w:r w:rsidRPr="00531789">
        <w:t>č. 56/2018 z. z. o posudzovaní zhody výrobku, sprístupňovaní určeného výrobku na trhu a o zmene a doplnení niektorých zákonov</w:t>
      </w:r>
      <w:r w:rsidRPr="00F02D2E">
        <w:t>,</w:t>
      </w:r>
    </w:p>
    <w:p w14:paraId="65A15809" w14:textId="77777777" w:rsidR="00F02D2E" w:rsidRPr="00F02D2E" w:rsidRDefault="00F02D2E" w:rsidP="00F02D2E">
      <w:pPr>
        <w:pStyle w:val="Bezriadkovania"/>
        <w:numPr>
          <w:ilvl w:val="0"/>
          <w:numId w:val="0"/>
        </w:numPr>
        <w:ind w:left="927"/>
      </w:pPr>
    </w:p>
    <w:p w14:paraId="24CB98E5" w14:textId="77777777" w:rsidR="006D39C1" w:rsidRDefault="006D39C1" w:rsidP="00F02D2E">
      <w:pPr>
        <w:pStyle w:val="Bezriadkovania"/>
      </w:pPr>
      <w:r w:rsidRPr="006D39C1">
        <w:t>protokol o vykonaných skúškach podľa príslušných platných slovenských technických noriem alebo zahraničných noriem zavedených do sústavy technických noriem v Slovenskej republike, vydaný autorizovanou osobou,</w:t>
      </w:r>
    </w:p>
    <w:p w14:paraId="31B5552B" w14:textId="77777777" w:rsidR="006D39C1" w:rsidRDefault="006D39C1" w:rsidP="00F02D2E">
      <w:pPr>
        <w:pStyle w:val="Bezriadkovania"/>
        <w:numPr>
          <w:ilvl w:val="0"/>
          <w:numId w:val="0"/>
        </w:numPr>
        <w:ind w:left="927"/>
      </w:pPr>
      <w:bookmarkStart w:id="0" w:name="_GoBack"/>
      <w:bookmarkEnd w:id="0"/>
    </w:p>
    <w:p w14:paraId="14913382" w14:textId="77777777" w:rsidR="003A300F" w:rsidRDefault="003A300F" w:rsidP="003A300F">
      <w:pPr>
        <w:spacing w:after="0" w:line="240" w:lineRule="auto"/>
        <w:jc w:val="both"/>
        <w:rPr>
          <w:rFonts w:ascii="Arial Narrow" w:hAnsi="Arial Narrow"/>
          <w:sz w:val="22"/>
        </w:rPr>
      </w:pPr>
    </w:p>
    <w:p w14:paraId="2171B062" w14:textId="77777777" w:rsidR="00DD6CBD" w:rsidRPr="00656645" w:rsidRDefault="00DD6CBD" w:rsidP="00DD6CBD">
      <w:pPr>
        <w:spacing w:before="120" w:after="120" w:line="240" w:lineRule="auto"/>
        <w:jc w:val="both"/>
        <w:rPr>
          <w:rFonts w:ascii="Arial Narrow" w:hAnsi="Arial Narrow"/>
          <w:sz w:val="22"/>
        </w:rPr>
      </w:pPr>
      <w:r w:rsidRPr="004725B1">
        <w:rPr>
          <w:rFonts w:ascii="Arial Narrow" w:hAnsi="Arial Narrow"/>
          <w:sz w:val="22"/>
        </w:rPr>
        <w:t>Vzorky, certifikáty a protokoly o skúške, predložené za účelom preukázania splnenia podmienok účasti tiež budú následne, v rámci hodnotenia ponúk podľa § 53 zákona, použité za účelom posúdenia splnenia požiadaviek verejného obstarávateľa na predmet zákazky.</w:t>
      </w:r>
    </w:p>
    <w:p w14:paraId="2188753F" w14:textId="77777777" w:rsidR="00DD6CBD" w:rsidRDefault="00DD6CBD" w:rsidP="003A300F">
      <w:pPr>
        <w:spacing w:after="0" w:line="240" w:lineRule="auto"/>
        <w:jc w:val="both"/>
        <w:rPr>
          <w:rFonts w:ascii="Arial Narrow" w:hAnsi="Arial Narrow"/>
          <w:sz w:val="22"/>
        </w:rPr>
      </w:pPr>
    </w:p>
    <w:p w14:paraId="0B06BCF8" w14:textId="2C5824D3" w:rsidR="003A300F" w:rsidRDefault="003A300F" w:rsidP="003A300F">
      <w:pPr>
        <w:spacing w:after="0" w:line="240" w:lineRule="auto"/>
        <w:jc w:val="both"/>
        <w:rPr>
          <w:rFonts w:ascii="Arial Narrow" w:hAnsi="Arial Narrow"/>
          <w:sz w:val="22"/>
        </w:rPr>
      </w:pPr>
      <w:r>
        <w:rPr>
          <w:rFonts w:ascii="Arial Narrow" w:hAnsi="Arial Narrow"/>
          <w:sz w:val="22"/>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w:t>
      </w:r>
      <w:r w:rsidR="00D05717">
        <w:rPr>
          <w:rFonts w:ascii="Arial Narrow" w:hAnsi="Arial Narrow"/>
          <w:sz w:val="22"/>
        </w:rPr>
        <w:t>Kúpnej zmluvy</w:t>
      </w:r>
      <w:r>
        <w:rPr>
          <w:rFonts w:ascii="Arial Narrow" w:hAnsi="Arial Narrow"/>
          <w:sz w:val="22"/>
        </w:rPr>
        <w:t xml:space="preserve">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1C8C29B9" w14:textId="77777777" w:rsidR="003A300F" w:rsidRDefault="003A300F" w:rsidP="003A300F">
      <w:pPr>
        <w:spacing w:after="0" w:line="240" w:lineRule="auto"/>
        <w:jc w:val="both"/>
        <w:rPr>
          <w:rFonts w:ascii="Arial Narrow" w:hAnsi="Arial Narrow"/>
          <w:sz w:val="22"/>
        </w:rPr>
      </w:pPr>
    </w:p>
    <w:p w14:paraId="48295774" w14:textId="77777777" w:rsidR="003A300F" w:rsidRDefault="003A300F" w:rsidP="003A300F">
      <w:pPr>
        <w:spacing w:after="0" w:line="240" w:lineRule="auto"/>
        <w:jc w:val="both"/>
        <w:rPr>
          <w:rFonts w:ascii="Arial Narrow" w:hAnsi="Arial Narrow"/>
          <w:sz w:val="22"/>
        </w:rPr>
      </w:pPr>
      <w:r>
        <w:rPr>
          <w:rFonts w:ascii="Arial Narrow" w:hAnsi="Arial Narrow"/>
          <w:sz w:val="22"/>
        </w:rPr>
        <w:t>Uchádzač môže predbežne nahradiť doklady na preukázanie splnenia podmienok účasti jednotným európskym</w:t>
      </w:r>
      <w:r>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750CCE49" w14:textId="77777777" w:rsidR="003A300F" w:rsidRDefault="003A300F" w:rsidP="003A300F">
      <w:pPr>
        <w:spacing w:after="0" w:line="240" w:lineRule="auto"/>
        <w:jc w:val="both"/>
        <w:rPr>
          <w:rFonts w:ascii="Arial Narrow" w:hAnsi="Arial Narrow"/>
          <w:sz w:val="22"/>
        </w:rPr>
      </w:pPr>
    </w:p>
    <w:p w14:paraId="0752BBDC" w14:textId="77777777" w:rsidR="003A300F" w:rsidRDefault="003A300F" w:rsidP="003A300F">
      <w:pPr>
        <w:spacing w:after="0" w:line="240" w:lineRule="auto"/>
        <w:jc w:val="both"/>
        <w:rPr>
          <w:rFonts w:ascii="Arial Narrow" w:hAnsi="Arial Narrow" w:cstheme="minorHAnsi"/>
          <w:sz w:val="22"/>
        </w:rPr>
      </w:pPr>
      <w:r>
        <w:rPr>
          <w:rFonts w:ascii="Arial Narrow" w:hAnsi="Arial Narrow" w:cstheme="minorHAnsi"/>
          <w:sz w:val="22"/>
        </w:rPr>
        <w:t>V prípade, že uchádzača tvorí skupina dodávateľov, uchádzač vyplní a predloží JED s požadovanými informáciami za každého člena skupiny dodávateľov.</w:t>
      </w:r>
    </w:p>
    <w:p w14:paraId="0BFDABC9" w14:textId="77777777" w:rsidR="003A300F" w:rsidRDefault="003A300F" w:rsidP="003A300F">
      <w:pPr>
        <w:spacing w:after="0" w:line="240" w:lineRule="auto"/>
        <w:jc w:val="both"/>
        <w:rPr>
          <w:rFonts w:ascii="Arial Narrow" w:hAnsi="Arial Narrow" w:cstheme="minorHAnsi"/>
          <w:sz w:val="22"/>
        </w:rPr>
      </w:pPr>
    </w:p>
    <w:p w14:paraId="1DB3EEBA" w14:textId="77777777" w:rsidR="00C15837" w:rsidRDefault="00C15837" w:rsidP="008812C1">
      <w:pPr>
        <w:jc w:val="center"/>
        <w:rPr>
          <w:rFonts w:ascii="Arial Narrow" w:hAnsi="Arial Narrow"/>
          <w:sz w:val="22"/>
        </w:rPr>
      </w:pPr>
    </w:p>
    <w:sectPr w:rsidR="00C158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2FCE" w14:textId="77777777" w:rsidR="00B33057" w:rsidRDefault="00B33057" w:rsidP="008E5C6C">
      <w:pPr>
        <w:spacing w:after="0" w:line="240" w:lineRule="auto"/>
      </w:pPr>
      <w:r>
        <w:separator/>
      </w:r>
    </w:p>
  </w:endnote>
  <w:endnote w:type="continuationSeparator" w:id="0">
    <w:p w14:paraId="26E9299B" w14:textId="77777777" w:rsidR="00B33057" w:rsidRDefault="00B33057"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F84B" w14:textId="77777777" w:rsidR="00C15837" w:rsidRDefault="00C15837">
    <w:pPr>
      <w:pStyle w:val="Pta"/>
    </w:pPr>
    <w:r>
      <w:rPr>
        <w:noProof/>
        <w:lang w:eastAsia="sk-SK"/>
      </w:rPr>
      <w:drawing>
        <wp:inline distT="0" distB="0" distL="0" distR="0" wp14:anchorId="0DCFAF5B" wp14:editId="7386F1C6">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D1C5" w14:textId="77777777" w:rsidR="00B33057" w:rsidRDefault="00B33057" w:rsidP="008E5C6C">
      <w:pPr>
        <w:spacing w:after="0" w:line="240" w:lineRule="auto"/>
      </w:pPr>
      <w:r>
        <w:separator/>
      </w:r>
    </w:p>
  </w:footnote>
  <w:footnote w:type="continuationSeparator" w:id="0">
    <w:p w14:paraId="46639CBF" w14:textId="77777777" w:rsidR="00B33057" w:rsidRDefault="00B33057"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59A4"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204825EE"/>
    <w:multiLevelType w:val="hybridMultilevel"/>
    <w:tmpl w:val="F374427E"/>
    <w:lvl w:ilvl="0" w:tplc="58729864">
      <w:start w:val="2"/>
      <w:numFmt w:val="bullet"/>
      <w:pStyle w:val="Bezriadkovania"/>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6"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76DBA"/>
    <w:rsid w:val="000C5887"/>
    <w:rsid w:val="000E0B22"/>
    <w:rsid w:val="000E4CF4"/>
    <w:rsid w:val="001257F2"/>
    <w:rsid w:val="00185224"/>
    <w:rsid w:val="00187417"/>
    <w:rsid w:val="001B3466"/>
    <w:rsid w:val="00256EBF"/>
    <w:rsid w:val="00297ED4"/>
    <w:rsid w:val="002A1995"/>
    <w:rsid w:val="002D1876"/>
    <w:rsid w:val="002D2A7F"/>
    <w:rsid w:val="00300583"/>
    <w:rsid w:val="00316A29"/>
    <w:rsid w:val="003A300F"/>
    <w:rsid w:val="003C337E"/>
    <w:rsid w:val="003D1BF4"/>
    <w:rsid w:val="00402BAB"/>
    <w:rsid w:val="0040403E"/>
    <w:rsid w:val="00454ECA"/>
    <w:rsid w:val="004725B1"/>
    <w:rsid w:val="0047620A"/>
    <w:rsid w:val="004D2157"/>
    <w:rsid w:val="004D3FCC"/>
    <w:rsid w:val="004E1DFB"/>
    <w:rsid w:val="0053024B"/>
    <w:rsid w:val="00540B1A"/>
    <w:rsid w:val="00545055"/>
    <w:rsid w:val="00581E44"/>
    <w:rsid w:val="005871B1"/>
    <w:rsid w:val="00592954"/>
    <w:rsid w:val="005B2586"/>
    <w:rsid w:val="005C28C2"/>
    <w:rsid w:val="005D3998"/>
    <w:rsid w:val="006439FC"/>
    <w:rsid w:val="00656645"/>
    <w:rsid w:val="006575E4"/>
    <w:rsid w:val="00660D0D"/>
    <w:rsid w:val="0066697F"/>
    <w:rsid w:val="006A5A0E"/>
    <w:rsid w:val="006B2552"/>
    <w:rsid w:val="006B455F"/>
    <w:rsid w:val="006D39C1"/>
    <w:rsid w:val="006F5C6D"/>
    <w:rsid w:val="0070459B"/>
    <w:rsid w:val="007217F2"/>
    <w:rsid w:val="00785D19"/>
    <w:rsid w:val="007B66A5"/>
    <w:rsid w:val="007E0E9B"/>
    <w:rsid w:val="007F3E27"/>
    <w:rsid w:val="007F75CC"/>
    <w:rsid w:val="008812C1"/>
    <w:rsid w:val="008875D0"/>
    <w:rsid w:val="008E5C6C"/>
    <w:rsid w:val="008F2E4C"/>
    <w:rsid w:val="008F4323"/>
    <w:rsid w:val="009033F9"/>
    <w:rsid w:val="00965B78"/>
    <w:rsid w:val="009F2EC2"/>
    <w:rsid w:val="00A54A19"/>
    <w:rsid w:val="00A66778"/>
    <w:rsid w:val="00A86DB3"/>
    <w:rsid w:val="00A935EB"/>
    <w:rsid w:val="00AD3CB3"/>
    <w:rsid w:val="00AE5732"/>
    <w:rsid w:val="00AF5FB0"/>
    <w:rsid w:val="00B16BB4"/>
    <w:rsid w:val="00B33057"/>
    <w:rsid w:val="00B51D06"/>
    <w:rsid w:val="00BE5FBA"/>
    <w:rsid w:val="00BF097D"/>
    <w:rsid w:val="00BF7178"/>
    <w:rsid w:val="00C14532"/>
    <w:rsid w:val="00C15837"/>
    <w:rsid w:val="00C2284E"/>
    <w:rsid w:val="00C93963"/>
    <w:rsid w:val="00C972D4"/>
    <w:rsid w:val="00CB112A"/>
    <w:rsid w:val="00CD3EF7"/>
    <w:rsid w:val="00CD53AF"/>
    <w:rsid w:val="00D043B3"/>
    <w:rsid w:val="00D05717"/>
    <w:rsid w:val="00D36EF8"/>
    <w:rsid w:val="00D675DE"/>
    <w:rsid w:val="00D80789"/>
    <w:rsid w:val="00DA7A68"/>
    <w:rsid w:val="00DD30A4"/>
    <w:rsid w:val="00DD6CBD"/>
    <w:rsid w:val="00E53BC2"/>
    <w:rsid w:val="00E70CD6"/>
    <w:rsid w:val="00EE2B73"/>
    <w:rsid w:val="00EF5E3C"/>
    <w:rsid w:val="00EF7AA5"/>
    <w:rsid w:val="00F02D2E"/>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E69"/>
  <w15:chartTrackingRefBased/>
  <w15:docId w15:val="{30F9DB0B-4409-48CC-9878-F5B21FA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F02D2E"/>
    <w:pPr>
      <w:numPr>
        <w:numId w:val="2"/>
      </w:numPr>
      <w:spacing w:after="0" w:line="240" w:lineRule="auto"/>
      <w:jc w:val="both"/>
    </w:pPr>
    <w:rPr>
      <w:rFonts w:ascii="Arial Narrow" w:eastAsia="Calibri" w:hAnsi="Arial Narrow" w:cs="Times New Roman"/>
      <w:b/>
      <w:shd w:val="clear" w:color="auto" w:fill="FFFFFF"/>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semiHidden/>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1354</Words>
  <Characters>7720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Mária Kačincová</cp:lastModifiedBy>
  <cp:revision>10</cp:revision>
  <dcterms:created xsi:type="dcterms:W3CDTF">2020-05-05T13:56:00Z</dcterms:created>
  <dcterms:modified xsi:type="dcterms:W3CDTF">2020-08-18T12:00:00Z</dcterms:modified>
</cp:coreProperties>
</file>