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77777777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19FDE7E6" w14:textId="3026EA3E" w:rsidR="008779D6" w:rsidRPr="00445E0A" w:rsidRDefault="007C3264" w:rsidP="00160E1A">
      <w:pPr>
        <w:pStyle w:val="Bezriadkovania"/>
        <w:spacing w:before="120" w:after="120"/>
        <w:jc w:val="both"/>
        <w:rPr>
          <w:rFonts w:ascii="Arial Narrow" w:hAnsi="Arial Narrow"/>
          <w:lang w:eastAsia="sk-SK"/>
        </w:rPr>
      </w:pPr>
      <w:r w:rsidRPr="00A65318">
        <w:rPr>
          <w:rFonts w:ascii="Arial Narrow" w:hAnsi="Arial Narrow"/>
          <w:lang w:eastAsia="sk-SK"/>
        </w:rPr>
        <w:t xml:space="preserve">Uchádzač </w:t>
      </w:r>
      <w:r w:rsidRPr="00A65318">
        <w:rPr>
          <w:rFonts w:ascii="Arial Narrow" w:hAnsi="Arial Narrow" w:cs="Arial"/>
          <w:lang w:eastAsia="sk-SK"/>
        </w:rPr>
        <w:t xml:space="preserve"> so sídlom alebo miestom podnikania v Slovenskej republike</w:t>
      </w:r>
      <w:r w:rsidRPr="00A65318">
        <w:rPr>
          <w:rFonts w:ascii="Arial Narrow" w:hAnsi="Arial Narrow"/>
          <w:lang w:eastAsia="sk-SK"/>
        </w:rPr>
        <w:t>, ktorý nie je zapísaný v zozname hospodárskych subjektov, nie je povinný verejnému obstarávateľovi predkladať doklady podľa</w:t>
      </w:r>
      <w:r w:rsidR="00160E1A">
        <w:rPr>
          <w:rFonts w:ascii="Arial Narrow" w:hAnsi="Arial Narrow"/>
          <w:lang w:eastAsia="sk-SK"/>
        </w:rPr>
        <w:t xml:space="preserve"> </w:t>
      </w:r>
      <w:bookmarkStart w:id="0" w:name="_GoBack"/>
      <w:bookmarkEnd w:id="0"/>
      <w:r w:rsidR="008779D6" w:rsidRPr="00445E0A">
        <w:rPr>
          <w:rFonts w:ascii="Arial Narrow" w:hAnsi="Arial Narrow"/>
          <w:lang w:eastAsia="sk-SK"/>
        </w:rPr>
        <w:t>§ 32 ods. 2 písm. e) zákona.</w:t>
      </w:r>
    </w:p>
    <w:p w14:paraId="32151BED" w14:textId="262B4231" w:rsidR="00E34025" w:rsidRPr="00A312EF" w:rsidRDefault="00E34025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12BE83FF" w14:textId="231CC6BD" w:rsidR="00E34025" w:rsidRPr="00A312EF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Zápis v zozname podnikateľov vykonaný podľa predpisov účinných do 17.apríla 2016 je zápisom do zoznamu hospodárskych subjektov v rozsahu zapísaných skutočností. </w:t>
      </w:r>
    </w:p>
    <w:p w14:paraId="368E74FF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49281F1" w14:textId="45CE45F7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="00AF4314">
        <w:rPr>
          <w:rFonts w:ascii="Arial Narrow" w:hAnsi="Arial Narrow"/>
          <w:lang w:val="sk-SK"/>
        </w:rPr>
        <w:t xml:space="preserve">podľa tejto prílohy súťažných podkladov, a to </w:t>
      </w:r>
      <w:r w:rsidRPr="005B4193">
        <w:rPr>
          <w:rFonts w:ascii="Arial Narrow" w:hAnsi="Arial Narrow"/>
        </w:rPr>
        <w:t>vo formáte .pdf</w:t>
      </w:r>
      <w:r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1" w:name="_Hlk534973602"/>
      <w:r w:rsidRPr="005B2404">
        <w:rPr>
          <w:rFonts w:ascii="Arial Narrow" w:hAnsi="Arial Narrow"/>
          <w:lang w:val="sk-SK"/>
        </w:rPr>
        <w:t>alebo</w:t>
      </w:r>
      <w:r w:rsidRPr="005B2404">
        <w:rPr>
          <w:rFonts w:ascii="Arial Narrow" w:hAnsi="Arial Narrow" w:cs="Arial"/>
          <w:bCs/>
        </w:rPr>
        <w:t xml:space="preserve"> </w:t>
      </w:r>
      <w:r w:rsidRPr="005B2404">
        <w:rPr>
          <w:rFonts w:ascii="Arial Narrow" w:hAnsi="Arial Narrow"/>
        </w:rPr>
        <w:t>v </w:t>
      </w:r>
      <w:r w:rsidRPr="005B2404">
        <w:rPr>
          <w:rFonts w:ascii="Arial Narrow" w:hAnsi="Arial Narrow"/>
          <w:lang w:val="sk-SK"/>
        </w:rPr>
        <w:t>pôvodnej</w:t>
      </w:r>
      <w:r>
        <w:rPr>
          <w:rFonts w:ascii="Arial Narrow" w:hAnsi="Arial Narrow"/>
          <w:lang w:val="sk-SK"/>
        </w:rPr>
        <w:t xml:space="preserve"> </w:t>
      </w:r>
      <w:r w:rsidRPr="00163300">
        <w:rPr>
          <w:rFonts w:ascii="Arial Narrow" w:hAnsi="Arial Narrow"/>
        </w:rPr>
        <w:t>elektronickej podobe</w:t>
      </w:r>
      <w:r>
        <w:rPr>
          <w:rFonts w:ascii="Arial Narrow" w:hAnsi="Arial Narrow"/>
        </w:rPr>
        <w:t xml:space="preserve"> podľa bodu 10.3  </w:t>
      </w:r>
      <w:r>
        <w:rPr>
          <w:rFonts w:ascii="Arial Narrow" w:hAnsi="Arial Narrow"/>
          <w:lang w:val="sk-SK"/>
        </w:rPr>
        <w:t xml:space="preserve">týchto súťažných </w:t>
      </w:r>
      <w:r>
        <w:rPr>
          <w:rFonts w:ascii="Arial Narrow" w:hAnsi="Arial Narrow"/>
        </w:rPr>
        <w:t>podkladov</w:t>
      </w:r>
      <w:bookmarkEnd w:id="1"/>
      <w:r w:rsidRPr="005B4193">
        <w:rPr>
          <w:rFonts w:ascii="Arial Narrow" w:hAnsi="Arial Narrow"/>
        </w:rPr>
        <w:t xml:space="preserve"> a vložené do ponuky</w:t>
      </w:r>
      <w:r w:rsidRPr="005B4193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C2B40"/>
    <w:rsid w:val="00CC6C5D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D47C-21E9-4D4A-9678-E31E2E4D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Adrika</cp:lastModifiedBy>
  <cp:revision>5</cp:revision>
  <cp:lastPrinted>2016-07-29T05:17:00Z</cp:lastPrinted>
  <dcterms:created xsi:type="dcterms:W3CDTF">2019-06-12T15:54:00Z</dcterms:created>
  <dcterms:modified xsi:type="dcterms:W3CDTF">2019-09-15T20:25:00Z</dcterms:modified>
</cp:coreProperties>
</file>