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385FCE88" w14:textId="77777777" w:rsidR="00870FDC" w:rsidRPr="0073590D" w:rsidRDefault="00870FDC" w:rsidP="00870FDC">
      <w:pPr>
        <w:spacing w:after="0" w:line="240" w:lineRule="auto"/>
        <w:jc w:val="both"/>
        <w:rPr>
          <w:rFonts w:ascii="Arial Narrow" w:hAnsi="Arial Narrow"/>
          <w:b/>
          <w:color w:val="FF0000"/>
        </w:rPr>
      </w:pPr>
      <w:r w:rsidRPr="00593C06">
        <w:rPr>
          <w:rFonts w:ascii="Arial Narrow" w:hAnsi="Arial Narrow"/>
          <w:b/>
        </w:rPr>
        <w:t>1. Osobné postavenie</w:t>
      </w:r>
      <w:r>
        <w:rPr>
          <w:rFonts w:ascii="Arial Narrow" w:hAnsi="Arial Narrow"/>
          <w:b/>
        </w:rPr>
        <w:t xml:space="preserve"> </w:t>
      </w:r>
    </w:p>
    <w:p w14:paraId="4E83154A" w14:textId="77777777" w:rsidR="00870FDC" w:rsidRDefault="00870FDC" w:rsidP="00870FDC">
      <w:pPr>
        <w:pStyle w:val="Zkladntext"/>
        <w:jc w:val="both"/>
        <w:rPr>
          <w:rStyle w:val="Jemnzvraznenie"/>
          <w:rFonts w:ascii="Arial Narrow" w:hAnsi="Arial Narrow" w:cs="Arial"/>
          <w:b w:val="0"/>
          <w:iCs/>
          <w:sz w:val="22"/>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b w:val="0"/>
          <w:sz w:val="22"/>
        </w:rPr>
        <w:t xml:space="preserve"> </w:t>
      </w:r>
    </w:p>
    <w:p w14:paraId="15D4A894" w14:textId="77777777" w:rsidR="00870FDC" w:rsidRPr="0073590D" w:rsidRDefault="00870FDC" w:rsidP="00870FDC">
      <w:pPr>
        <w:pStyle w:val="Zkladntext"/>
        <w:jc w:val="both"/>
        <w:rPr>
          <w:rStyle w:val="Jemnzvraznenie"/>
          <w:rFonts w:ascii="Arial Narrow" w:hAnsi="Arial Narrow" w:cs="Arial"/>
          <w:b w:val="0"/>
          <w:iCs/>
          <w:sz w:val="22"/>
        </w:rPr>
      </w:pPr>
      <w:r w:rsidRPr="0073590D">
        <w:rPr>
          <w:rStyle w:val="Jemnzvraznenie"/>
          <w:rFonts w:ascii="Arial Narrow" w:hAnsi="Arial Narrow" w:cs="Arial"/>
          <w:b w:val="0"/>
          <w:sz w:val="22"/>
        </w:rPr>
        <w:t>Verejný obstarávateľ upozorňuje na znenie podmienok účasti podľa § 32 ods. 1 písm. b) a c) zákona a spôsobu ich preukazovania podľa § 32 ods. 2 písm. c) zákona účinné od 1.12.2019.</w:t>
      </w:r>
    </w:p>
    <w:p w14:paraId="1A53F070" w14:textId="77777777" w:rsidR="00870FDC" w:rsidRDefault="00870FDC" w:rsidP="00870FDC">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213BB4C8" w14:textId="77777777" w:rsidR="00870FDC" w:rsidRDefault="00870FDC" w:rsidP="00870FDC">
      <w:pPr>
        <w:spacing w:after="0" w:line="240" w:lineRule="auto"/>
        <w:jc w:val="both"/>
        <w:rPr>
          <w:rStyle w:val="Jemnzvraznenie"/>
          <w:rFonts w:ascii="Arial Narrow" w:hAnsi="Arial Narrow" w:cs="Arial"/>
          <w:b w:val="0"/>
          <w:iCs/>
          <w:sz w:val="22"/>
        </w:rPr>
      </w:pPr>
    </w:p>
    <w:p w14:paraId="0A932A10" w14:textId="77777777" w:rsidR="00870FDC" w:rsidRPr="00A312EF" w:rsidRDefault="00870FDC" w:rsidP="00870FDC">
      <w:pPr>
        <w:spacing w:after="0" w:line="240" w:lineRule="auto"/>
        <w:jc w:val="both"/>
        <w:rPr>
          <w:rFonts w:ascii="Arial Narrow" w:hAnsi="Arial Narrow" w:cs="Arial"/>
        </w:rPr>
      </w:pPr>
      <w:r w:rsidRPr="00A312EF">
        <w:rPr>
          <w:rStyle w:val="Jemnzvraznenie"/>
          <w:rFonts w:ascii="Arial Narrow" w:hAnsi="Arial Narrow" w:cs="Arial"/>
          <w:b w:val="0"/>
          <w:sz w:val="22"/>
        </w:rPr>
        <w:t xml:space="preserve">Preukazovanie podmienok účasti je voči </w:t>
      </w:r>
      <w:r>
        <w:rPr>
          <w:rStyle w:val="Jemnzvraznenie"/>
          <w:rFonts w:ascii="Arial Narrow" w:hAnsi="Arial Narrow" w:cs="Arial"/>
          <w:b w:val="0"/>
          <w:sz w:val="22"/>
        </w:rPr>
        <w:t xml:space="preserve">verejnému </w:t>
      </w:r>
      <w:r w:rsidRPr="00A312EF">
        <w:rPr>
          <w:rStyle w:val="Jemnzvraznenie"/>
          <w:rFonts w:ascii="Arial Narrow" w:hAnsi="Arial Narrow" w:cs="Arial"/>
          <w:b w:val="0"/>
          <w:sz w:val="22"/>
        </w:rPr>
        <w:t xml:space="preserve">obstarávateľovi účinné aj spôsobom podľa § 152 ods. 4 zákona. </w:t>
      </w:r>
      <w:r w:rsidRPr="00A312EF">
        <w:rPr>
          <w:rFonts w:ascii="Arial Narrow" w:hAnsi="Arial Narrow" w:cs="Arial"/>
        </w:rPr>
        <w:t xml:space="preserve">Uchádzač zapísaný v zozname hospodárskych subjektov podľa zákona nie je povinný v procese verejného obstarávania predkladať doklady podľa § 32 ods. 2 zákona. </w:t>
      </w:r>
    </w:p>
    <w:p w14:paraId="4AC14D47" w14:textId="77777777" w:rsidR="00870FDC" w:rsidRPr="00A312EF" w:rsidRDefault="00870FDC" w:rsidP="00870FDC">
      <w:pPr>
        <w:autoSpaceDE w:val="0"/>
        <w:autoSpaceDN w:val="0"/>
        <w:adjustRightInd w:val="0"/>
        <w:spacing w:after="0" w:line="240" w:lineRule="auto"/>
        <w:ind w:hanging="1"/>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74BE6FBC" w14:textId="77777777" w:rsidR="00870FDC" w:rsidRDefault="00870FDC" w:rsidP="00870FDC">
      <w:pPr>
        <w:spacing w:after="120" w:line="240" w:lineRule="auto"/>
        <w:jc w:val="both"/>
        <w:rPr>
          <w:rFonts w:ascii="Arial Narrow" w:hAnsi="Arial Narrow" w:cs="Arial"/>
        </w:rPr>
      </w:pPr>
    </w:p>
    <w:p w14:paraId="48D1826C" w14:textId="77777777" w:rsidR="00870FDC" w:rsidRDefault="00870FDC" w:rsidP="00870FDC">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8853E48" w14:textId="77777777" w:rsidR="00870FDC" w:rsidRDefault="00870FDC" w:rsidP="00870FDC">
      <w:pPr>
        <w:widowControl w:val="0"/>
        <w:tabs>
          <w:tab w:val="left" w:pos="0"/>
        </w:tabs>
        <w:spacing w:after="0" w:line="240" w:lineRule="exact"/>
        <w:jc w:val="both"/>
        <w:rPr>
          <w:rFonts w:ascii="Arial Narrow" w:hAnsi="Arial Narrow"/>
        </w:rPr>
      </w:pPr>
    </w:p>
    <w:p w14:paraId="1AB309DB" w14:textId="77777777" w:rsidR="00870FDC" w:rsidRDefault="00870FDC" w:rsidP="00870FDC">
      <w:pPr>
        <w:widowControl w:val="0"/>
        <w:tabs>
          <w:tab w:val="left" w:pos="0"/>
        </w:tabs>
        <w:spacing w:after="0" w:line="240" w:lineRule="exact"/>
        <w:jc w:val="both"/>
        <w:rPr>
          <w:rFonts w:ascii="Arial Narrow" w:hAnsi="Arial Narrow"/>
        </w:rPr>
      </w:pPr>
      <w:r>
        <w:rPr>
          <w:rFonts w:ascii="Arial Narrow" w:hAnsi="Arial Narrow"/>
        </w:rPr>
        <w:t>Doklady, ktoré sa nepredkladajú:</w:t>
      </w:r>
    </w:p>
    <w:p w14:paraId="618DC4CA" w14:textId="77777777" w:rsidR="00870FDC" w:rsidRPr="0073590D" w:rsidRDefault="00870FDC" w:rsidP="00870FDC">
      <w:pPr>
        <w:widowControl w:val="0"/>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16C355FF" w14:textId="77777777" w:rsidR="00870FDC" w:rsidRPr="0073590D" w:rsidRDefault="00870FDC" w:rsidP="00870FDC">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5EC6DE98" w14:textId="77777777" w:rsidR="00870FDC" w:rsidRPr="0073590D" w:rsidRDefault="00870FDC" w:rsidP="00870FDC">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potvrdenia zdravotnej poisťovne a Sociálnej poisťovne podľa § 32 ods. 1 písm. b) a  ods. 2 písm. b) zákona,</w:t>
      </w:r>
    </w:p>
    <w:p w14:paraId="0E564796" w14:textId="77777777" w:rsidR="00870FDC" w:rsidRPr="0073590D" w:rsidRDefault="00870FDC" w:rsidP="00870FDC">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potvrdenia miestne príslušného daňového úradu a miestne príslušného colného úradu podľa § 32 ods. 1 písm. c) a ods. 2 písm. c) zákona,</w:t>
      </w:r>
    </w:p>
    <w:p w14:paraId="1F04FB38" w14:textId="77777777" w:rsidR="00870FDC" w:rsidRPr="0073590D" w:rsidRDefault="00870FDC" w:rsidP="00870FDC">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D264FE3" w14:textId="77777777" w:rsidR="00870FDC" w:rsidRPr="0073590D" w:rsidRDefault="00870FDC" w:rsidP="00870FDC">
      <w:pPr>
        <w:widowControl w:val="0"/>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Upozornenie:</w:t>
      </w:r>
    </w:p>
    <w:p w14:paraId="7B559211" w14:textId="5FC6B422" w:rsidR="007651FE" w:rsidRPr="0073590D" w:rsidRDefault="00870FDC" w:rsidP="0073590D">
      <w:pPr>
        <w:autoSpaceDE w:val="0"/>
        <w:autoSpaceDN w:val="0"/>
        <w:adjustRightInd w:val="0"/>
        <w:spacing w:after="0" w:line="240" w:lineRule="auto"/>
        <w:jc w:val="both"/>
        <w:rPr>
          <w:rFonts w:ascii="Arial Narrow" w:hAnsi="Arial Narrow"/>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r w:rsidRPr="0073590D">
        <w:rPr>
          <w:rFonts w:ascii="Arial Narrow" w:hAnsi="Arial Narrow" w:cs="Tahoma"/>
        </w:rPr>
        <w:t>.</w:t>
      </w:r>
      <w:r w:rsidR="00626E8D" w:rsidRPr="0073590D" w:rsidDel="00626E8D">
        <w:rPr>
          <w:rFonts w:ascii="Arial Narrow" w:hAnsi="Arial Narrow" w:cs="Tahoma"/>
        </w:rPr>
        <w:t xml:space="preserve"> </w:t>
      </w: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0" w:name="_Hlk500234260"/>
      <w:r>
        <w:rPr>
          <w:rFonts w:ascii="Arial Narrow" w:hAnsi="Arial Narrow"/>
          <w:color w:val="000000"/>
        </w:rPr>
        <w:t xml:space="preserve"> </w:t>
      </w:r>
    </w:p>
    <w:p w14:paraId="1BB1D91F" w14:textId="5F2606A2"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Cs w:val="0"/>
          <w:color w:val="000000"/>
          <w:sz w:val="22"/>
          <w:szCs w:val="22"/>
        </w:rPr>
        <w:lastRenderedPageBreak/>
        <w:t xml:space="preserve">podľa </w:t>
      </w:r>
      <w:r w:rsidR="00932AC8" w:rsidRPr="00D03DEA">
        <w:rPr>
          <w:rFonts w:ascii="Arial Narrow" w:eastAsia="Calibri" w:hAnsi="Arial Narrow" w:cs="Times New Roman"/>
          <w:bCs w:val="0"/>
          <w:color w:val="000000"/>
          <w:sz w:val="22"/>
          <w:szCs w:val="22"/>
        </w:rPr>
        <w:t>§ 34 ods. 1 písm. a) zákona</w:t>
      </w:r>
      <w:r w:rsidR="00932AC8" w:rsidRPr="003A7447">
        <w:rPr>
          <w:rFonts w:ascii="Arial Narrow" w:eastAsia="Calibri" w:hAnsi="Arial Narrow" w:cs="Times New Roman"/>
          <w:b w:val="0"/>
          <w:bCs w:val="0"/>
          <w:color w:val="000000"/>
          <w:sz w:val="22"/>
          <w:szCs w:val="22"/>
        </w:rPr>
        <w:t xml:space="preserve"> – verejný obstarávateľ </w:t>
      </w:r>
      <w:r w:rsidR="00932AC8" w:rsidRPr="002D0A52">
        <w:rPr>
          <w:rFonts w:ascii="Arial Narrow" w:eastAsia="Calibri" w:hAnsi="Arial Narrow" w:cs="Times New Roman"/>
          <w:b w:val="0"/>
          <w:bCs w:val="0"/>
          <w:color w:val="000000"/>
          <w:sz w:val="22"/>
          <w:szCs w:val="22"/>
        </w:rPr>
        <w:t xml:space="preserve">požaduje predložiť zoznam </w:t>
      </w:r>
      <w:r w:rsidR="00870FDC" w:rsidRPr="002D0A52">
        <w:rPr>
          <w:rFonts w:ascii="Arial Narrow" w:eastAsia="Calibri" w:hAnsi="Arial Narrow" w:cs="Times New Roman"/>
          <w:b w:val="0"/>
          <w:bCs w:val="0"/>
          <w:color w:val="000000"/>
          <w:sz w:val="22"/>
          <w:szCs w:val="22"/>
        </w:rPr>
        <w:t>poskytnutých</w:t>
      </w:r>
      <w:r w:rsidR="00870FDC">
        <w:rPr>
          <w:rFonts w:ascii="Arial Narrow" w:eastAsia="Calibri" w:hAnsi="Arial Narrow" w:cs="Times New Roman"/>
          <w:b w:val="0"/>
          <w:bCs w:val="0"/>
          <w:color w:val="000000"/>
          <w:sz w:val="22"/>
          <w:szCs w:val="22"/>
        </w:rPr>
        <w:t xml:space="preserve"> služieb</w:t>
      </w:r>
      <w:r w:rsidR="00932AC8" w:rsidRPr="003A7447">
        <w:rPr>
          <w:rFonts w:ascii="Arial Narrow" w:eastAsia="Calibri" w:hAnsi="Arial Narrow" w:cs="Times New Roman"/>
          <w:b w:val="0"/>
          <w:bCs w:val="0"/>
          <w:color w:val="000000"/>
          <w:sz w:val="22"/>
          <w:szCs w:val="22"/>
        </w:rPr>
        <w:t xml:space="preserve"> za predchádzajúce </w:t>
      </w:r>
      <w:r w:rsidR="00870FDC">
        <w:rPr>
          <w:rFonts w:ascii="Arial Narrow" w:eastAsia="Calibri" w:hAnsi="Arial Narrow" w:cs="Times New Roman"/>
          <w:b w:val="0"/>
          <w:bCs w:val="0"/>
          <w:color w:val="000000"/>
          <w:sz w:val="22"/>
          <w:szCs w:val="22"/>
        </w:rPr>
        <w:t>tri</w:t>
      </w:r>
      <w:r w:rsidR="00932AC8" w:rsidRPr="003A7447">
        <w:rPr>
          <w:rFonts w:ascii="Arial Narrow" w:eastAsia="Calibri" w:hAnsi="Arial Narrow" w:cs="Times New Roman"/>
          <w:b w:val="0"/>
          <w:bCs w:val="0"/>
          <w:color w:val="000000"/>
          <w:sz w:val="22"/>
          <w:szCs w:val="22"/>
        </w:rPr>
        <w:t xml:space="preserve"> roky od vyhlásenia verejného obstarávania s uvedením cien, lehôt dodania a odberateľov; dokladom je referencia, ak odberateľom bol verejný obstarávateľ alebo obstarávateľ podľa zákona.</w:t>
      </w:r>
    </w:p>
    <w:p w14:paraId="10E33396" w14:textId="4786C87C" w:rsidR="00932AC8"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17C5DFBD" w14:textId="77777777" w:rsidR="004B2D2D" w:rsidRDefault="004B2D2D" w:rsidP="00947ECF">
      <w:pPr>
        <w:spacing w:after="0" w:line="240" w:lineRule="auto"/>
        <w:ind w:left="567"/>
        <w:jc w:val="both"/>
        <w:rPr>
          <w:rFonts w:ascii="Arial Narrow" w:hAnsi="Arial Narrow"/>
          <w:color w:val="000000"/>
        </w:rPr>
      </w:pPr>
    </w:p>
    <w:p w14:paraId="18C62187" w14:textId="04C8FC94" w:rsidR="004B2D2D" w:rsidRPr="000229E0" w:rsidRDefault="004B2D2D" w:rsidP="00947ECF">
      <w:pPr>
        <w:spacing w:after="0" w:line="240" w:lineRule="auto"/>
        <w:ind w:left="567"/>
        <w:jc w:val="both"/>
        <w:rPr>
          <w:rFonts w:ascii="Arial Narrow" w:hAnsi="Arial Narrow"/>
          <w:color w:val="000000"/>
        </w:rPr>
      </w:pPr>
      <w:r>
        <w:rPr>
          <w:rFonts w:ascii="Arial Narrow" w:hAnsi="Arial Narrow"/>
          <w:color w:val="000000"/>
        </w:rPr>
        <w:t>Minimálna požadovaná úroveň</w:t>
      </w:r>
      <w:r w:rsidR="00BB5721">
        <w:rPr>
          <w:rFonts w:ascii="Arial Narrow" w:hAnsi="Arial Narrow"/>
          <w:color w:val="000000"/>
        </w:rPr>
        <w:t xml:space="preserve"> </w:t>
      </w:r>
      <w:r>
        <w:rPr>
          <w:rFonts w:ascii="Arial Narrow" w:hAnsi="Arial Narrow"/>
          <w:color w:val="000000"/>
        </w:rPr>
        <w:t>štandardov:</w:t>
      </w:r>
    </w:p>
    <w:p w14:paraId="773EB33E" w14:textId="69EA29E9" w:rsidR="007651FE" w:rsidRPr="00197D66" w:rsidRDefault="00197D66" w:rsidP="00197D66">
      <w:pPr>
        <w:tabs>
          <w:tab w:val="left" w:pos="284"/>
          <w:tab w:val="left" w:pos="567"/>
        </w:tabs>
        <w:spacing w:after="0" w:line="240" w:lineRule="auto"/>
        <w:jc w:val="both"/>
        <w:rPr>
          <w:rFonts w:ascii="Arial Narrow" w:hAnsi="Arial Narrow"/>
          <w:b/>
          <w:color w:val="000000"/>
        </w:rPr>
      </w:pPr>
      <w:r>
        <w:rPr>
          <w:rFonts w:ascii="Arial Narrow" w:hAnsi="Arial Narrow"/>
          <w:color w:val="000000"/>
        </w:rPr>
        <w:tab/>
      </w:r>
      <w:r>
        <w:rPr>
          <w:rFonts w:ascii="Arial Narrow" w:hAnsi="Arial Narrow"/>
          <w:color w:val="000000"/>
        </w:rPr>
        <w:tab/>
      </w:r>
      <w:r w:rsidRPr="00197D66">
        <w:rPr>
          <w:rFonts w:ascii="Arial Narrow" w:hAnsi="Arial Narrow"/>
          <w:b/>
          <w:color w:val="000000"/>
        </w:rPr>
        <w:t>pre Časť 1:</w:t>
      </w:r>
    </w:p>
    <w:p w14:paraId="2080B28C" w14:textId="43033DEC" w:rsidR="00870FDC" w:rsidRPr="00650EBA" w:rsidRDefault="00870FDC" w:rsidP="00870FDC">
      <w:pPr>
        <w:autoSpaceDE w:val="0"/>
        <w:autoSpaceDN w:val="0"/>
        <w:adjustRightInd w:val="0"/>
        <w:spacing w:after="0" w:line="240" w:lineRule="auto"/>
        <w:ind w:left="567"/>
        <w:jc w:val="both"/>
        <w:rPr>
          <w:rFonts w:ascii="Arial Narrow" w:hAnsi="Arial Narrow" w:cs="Tahoma"/>
          <w:color w:val="FF0000"/>
          <w:lang w:eastAsia="sk-SK"/>
        </w:rPr>
      </w:pPr>
      <w:r w:rsidRPr="00650EBA">
        <w:rPr>
          <w:rFonts w:ascii="Arial Narrow" w:hAnsi="Arial Narrow" w:cs="Tahoma"/>
          <w:lang w:eastAsia="sk-SK"/>
        </w:rPr>
        <w:t xml:space="preserve">Zoznamom všetkých poskytnutých služieb rovnakého alebo podobného charakteru ako je predmet zákazky, uchádzač musí preukázať, že za rozhodné obdobie poskytol služby v celkovom objeme minimálne </w:t>
      </w:r>
      <w:r w:rsidRPr="00650EBA">
        <w:rPr>
          <w:rFonts w:ascii="Arial Narrow" w:hAnsi="Arial Narrow" w:cs="Tahoma"/>
          <w:lang w:eastAsia="sk-SK"/>
        </w:rPr>
        <w:br/>
      </w:r>
      <w:r w:rsidR="00BA7A58" w:rsidRPr="00650EBA">
        <w:rPr>
          <w:rFonts w:ascii="Arial Narrow" w:hAnsi="Arial Narrow" w:cs="Tahoma"/>
          <w:lang w:eastAsia="sk-SK"/>
        </w:rPr>
        <w:t>7 000 000,-</w:t>
      </w:r>
      <w:r w:rsidRPr="00650EBA">
        <w:rPr>
          <w:rFonts w:ascii="Arial Narrow" w:hAnsi="Arial Narrow" w:cs="Tahoma"/>
          <w:lang w:eastAsia="sk-SK"/>
        </w:rPr>
        <w:t xml:space="preserve"> E</w:t>
      </w:r>
      <w:r w:rsidR="00650EBA" w:rsidRPr="00650EBA">
        <w:rPr>
          <w:rFonts w:ascii="Arial Narrow" w:hAnsi="Arial Narrow" w:cs="Tahoma"/>
          <w:lang w:eastAsia="sk-SK"/>
        </w:rPr>
        <w:t>UR</w:t>
      </w:r>
      <w:r w:rsidRPr="00650EBA">
        <w:rPr>
          <w:rFonts w:ascii="Arial Narrow" w:hAnsi="Arial Narrow" w:cs="Tahoma"/>
          <w:lang w:eastAsia="sk-SK"/>
        </w:rPr>
        <w:t xml:space="preserve"> bez DPH</w:t>
      </w:r>
      <w:r w:rsidRPr="00650EBA">
        <w:rPr>
          <w:rFonts w:ascii="Arial Narrow" w:hAnsi="Arial Narrow" w:cs="Tahoma"/>
          <w:color w:val="FF0000"/>
          <w:lang w:eastAsia="sk-SK"/>
        </w:rPr>
        <w:t>.</w:t>
      </w:r>
      <w:bookmarkStart w:id="1" w:name="_GoBack"/>
      <w:bookmarkEnd w:id="1"/>
    </w:p>
    <w:p w14:paraId="03B24345" w14:textId="77777777" w:rsidR="00CA0DAB" w:rsidRPr="00650EBA" w:rsidRDefault="00CA0DAB" w:rsidP="003A7447">
      <w:pPr>
        <w:spacing w:after="0" w:line="240" w:lineRule="auto"/>
        <w:ind w:left="567"/>
        <w:jc w:val="both"/>
        <w:rPr>
          <w:rFonts w:ascii="Arial Narrow" w:hAnsi="Arial Narrow"/>
          <w:b/>
        </w:rPr>
      </w:pPr>
    </w:p>
    <w:p w14:paraId="002E5E4C" w14:textId="4EADFC3B" w:rsidR="00197D66" w:rsidRPr="00650EBA" w:rsidRDefault="00197D66" w:rsidP="003A7447">
      <w:pPr>
        <w:spacing w:after="0" w:line="240" w:lineRule="auto"/>
        <w:ind w:left="567"/>
        <w:jc w:val="both"/>
        <w:rPr>
          <w:rFonts w:ascii="Arial Narrow" w:hAnsi="Arial Narrow"/>
          <w:b/>
        </w:rPr>
      </w:pPr>
      <w:r w:rsidRPr="00650EBA">
        <w:rPr>
          <w:rFonts w:ascii="Arial Narrow" w:hAnsi="Arial Narrow"/>
          <w:b/>
        </w:rPr>
        <w:t>pre Časť 2</w:t>
      </w:r>
    </w:p>
    <w:p w14:paraId="147A6974" w14:textId="28C962F0" w:rsidR="00443728" w:rsidRDefault="00870FDC" w:rsidP="00443728">
      <w:pPr>
        <w:spacing w:after="0" w:line="240" w:lineRule="auto"/>
        <w:ind w:left="567"/>
        <w:jc w:val="both"/>
        <w:rPr>
          <w:rFonts w:ascii="Arial Narrow" w:hAnsi="Arial Narrow" w:cs="Arial"/>
        </w:rPr>
      </w:pPr>
      <w:r w:rsidRPr="00650EBA">
        <w:rPr>
          <w:rFonts w:ascii="Arial Narrow" w:hAnsi="Arial Narrow" w:cs="Tahoma"/>
          <w:lang w:eastAsia="sk-SK"/>
        </w:rPr>
        <w:t xml:space="preserve">Zoznamom všetkých poskytnutých služieb rovnakého alebo podobného charakteru ako je predmet zákazky, uchádzač musí preukázať, že za rozhodné obdobie poskytol služby v celkovom objeme minimálne </w:t>
      </w:r>
      <w:r w:rsidRPr="00650EBA">
        <w:rPr>
          <w:rFonts w:ascii="Arial Narrow" w:hAnsi="Arial Narrow" w:cs="Tahoma"/>
          <w:lang w:eastAsia="sk-SK"/>
        </w:rPr>
        <w:br/>
      </w:r>
      <w:r w:rsidR="00BA7A58" w:rsidRPr="00650EBA">
        <w:rPr>
          <w:rFonts w:ascii="Arial Narrow" w:hAnsi="Arial Narrow" w:cs="Tahoma"/>
          <w:lang w:eastAsia="sk-SK"/>
        </w:rPr>
        <w:t>3 </w:t>
      </w:r>
      <w:r w:rsidR="00B63312" w:rsidRPr="00650EBA">
        <w:rPr>
          <w:rFonts w:ascii="Arial Narrow" w:hAnsi="Arial Narrow" w:cs="Tahoma"/>
          <w:lang w:eastAsia="sk-SK"/>
        </w:rPr>
        <w:t>000</w:t>
      </w:r>
      <w:r w:rsidR="00650EBA" w:rsidRPr="00650EBA">
        <w:rPr>
          <w:rFonts w:ascii="Arial Narrow" w:hAnsi="Arial Narrow" w:cs="Tahoma"/>
          <w:lang w:eastAsia="sk-SK"/>
        </w:rPr>
        <w:t> </w:t>
      </w:r>
      <w:r w:rsidR="00B63312" w:rsidRPr="00650EBA">
        <w:rPr>
          <w:rFonts w:ascii="Arial Narrow" w:hAnsi="Arial Narrow" w:cs="Tahoma"/>
          <w:lang w:eastAsia="sk-SK"/>
        </w:rPr>
        <w:t>000</w:t>
      </w:r>
      <w:r w:rsidR="00650EBA" w:rsidRPr="00650EBA">
        <w:rPr>
          <w:rFonts w:ascii="Arial Narrow" w:hAnsi="Arial Narrow" w:cs="Tahoma"/>
          <w:lang w:eastAsia="sk-SK"/>
        </w:rPr>
        <w:t>,-</w:t>
      </w:r>
      <w:r w:rsidRPr="00650EBA">
        <w:rPr>
          <w:rFonts w:ascii="Arial Narrow" w:hAnsi="Arial Narrow" w:cs="Tahoma"/>
          <w:lang w:eastAsia="sk-SK"/>
        </w:rPr>
        <w:t xml:space="preserve"> </w:t>
      </w:r>
      <w:r w:rsidR="00650EBA" w:rsidRPr="00650EBA">
        <w:rPr>
          <w:rFonts w:ascii="Arial Narrow" w:hAnsi="Arial Narrow" w:cs="Tahoma"/>
          <w:lang w:eastAsia="sk-SK"/>
        </w:rPr>
        <w:t>E</w:t>
      </w:r>
      <w:r w:rsidR="00650EBA" w:rsidRPr="00650EBA">
        <w:rPr>
          <w:rFonts w:ascii="Arial Narrow" w:hAnsi="Arial Narrow" w:cs="Tahoma"/>
          <w:lang w:eastAsia="sk-SK"/>
        </w:rPr>
        <w:t>UR</w:t>
      </w:r>
      <w:r w:rsidR="00650EBA" w:rsidRPr="00650EBA">
        <w:rPr>
          <w:rFonts w:ascii="Arial Narrow" w:hAnsi="Arial Narrow" w:cs="Tahoma"/>
          <w:lang w:eastAsia="sk-SK"/>
        </w:rPr>
        <w:t xml:space="preserve"> </w:t>
      </w:r>
      <w:r w:rsidRPr="00650EBA">
        <w:rPr>
          <w:rFonts w:ascii="Arial Narrow" w:hAnsi="Arial Narrow" w:cs="Tahoma"/>
          <w:lang w:eastAsia="sk-SK"/>
        </w:rPr>
        <w:t>bez DPH</w:t>
      </w:r>
      <w:r w:rsidR="00BA7A58" w:rsidRPr="00650EBA">
        <w:rPr>
          <w:rFonts w:ascii="Arial Narrow" w:hAnsi="Arial Narrow" w:cs="Tahoma"/>
          <w:lang w:eastAsia="sk-SK"/>
        </w:rPr>
        <w:t>.</w:t>
      </w:r>
      <w:r w:rsidRPr="00650EBA">
        <w:rPr>
          <w:rFonts w:ascii="Arial Narrow" w:hAnsi="Arial Narrow" w:cs="Tahoma"/>
          <w:lang w:eastAsia="sk-SK"/>
        </w:rPr>
        <w:t xml:space="preserve"> </w:t>
      </w:r>
    </w:p>
    <w:p w14:paraId="6AA39C0E" w14:textId="2574DEB1" w:rsidR="002814A6" w:rsidRDefault="002814A6" w:rsidP="00443728">
      <w:pPr>
        <w:spacing w:after="0" w:line="240" w:lineRule="auto"/>
        <w:ind w:left="567"/>
        <w:jc w:val="both"/>
        <w:rPr>
          <w:rFonts w:ascii="Arial Narrow" w:hAnsi="Arial Narrow" w:cs="Arial"/>
        </w:rPr>
      </w:pPr>
    </w:p>
    <w:p w14:paraId="78A717D5" w14:textId="77777777" w:rsidR="002814A6" w:rsidRPr="00A312EF" w:rsidRDefault="002814A6" w:rsidP="002814A6">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3D4A3366" w14:textId="77777777" w:rsidR="002814A6" w:rsidRPr="00A312EF" w:rsidRDefault="002814A6" w:rsidP="002814A6">
      <w:pPr>
        <w:autoSpaceDE w:val="0"/>
        <w:autoSpaceDN w:val="0"/>
        <w:adjustRightInd w:val="0"/>
        <w:spacing w:after="0" w:line="240" w:lineRule="auto"/>
        <w:ind w:left="567"/>
        <w:jc w:val="both"/>
        <w:rPr>
          <w:rFonts w:ascii="Arial Narrow" w:hAnsi="Arial Narrow" w:cs="Arial"/>
        </w:rPr>
      </w:pPr>
    </w:p>
    <w:p w14:paraId="62A2B4FB" w14:textId="6832D87A" w:rsidR="002814A6" w:rsidRPr="004B2D2D" w:rsidRDefault="002814A6" w:rsidP="002814A6">
      <w:pPr>
        <w:spacing w:after="0" w:line="240" w:lineRule="auto"/>
        <w:ind w:left="567"/>
        <w:jc w:val="both"/>
        <w:rPr>
          <w:rFonts w:ascii="Arial Narrow" w:hAnsi="Arial Narrow" w:cs="Arial"/>
          <w:lang w:eastAsia="sk-SK"/>
        </w:rPr>
      </w:pPr>
      <w:r w:rsidRPr="004B2D2D">
        <w:rPr>
          <w:rFonts w:ascii="Arial Narrow" w:hAnsi="Arial Narrow" w:cs="Arial"/>
          <w:u w:val="single"/>
        </w:rPr>
        <w:t xml:space="preserve">Zo zoznamu </w:t>
      </w:r>
      <w:r>
        <w:rPr>
          <w:rFonts w:ascii="Arial Narrow" w:hAnsi="Arial Narrow" w:cs="Arial"/>
          <w:u w:val="single"/>
        </w:rPr>
        <w:t>poskytnutých služieb</w:t>
      </w:r>
      <w:r w:rsidRPr="004B2D2D">
        <w:rPr>
          <w:rFonts w:ascii="Arial Narrow" w:hAnsi="Arial Narrow" w:cs="Arial"/>
          <w:u w:val="single"/>
        </w:rPr>
        <w:t xml:space="preserve"> predložen</w:t>
      </w:r>
      <w:r>
        <w:rPr>
          <w:rFonts w:ascii="Arial Narrow" w:hAnsi="Arial Narrow" w:cs="Arial"/>
          <w:u w:val="single"/>
        </w:rPr>
        <w:t>ých</w:t>
      </w:r>
      <w:r w:rsidRPr="004B2D2D">
        <w:rPr>
          <w:rFonts w:ascii="Arial Narrow" w:hAnsi="Arial Narrow" w:cs="Arial"/>
          <w:u w:val="single"/>
        </w:rPr>
        <w:t xml:space="preserve">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názov/obchodné meno, sídlo/miesto odberateľa, predmet zmluvy/plnenia - stručný opis predmetu plnenia, zmluvná cena tovaru v EUR bez DPH a skutočne uhradená cena za dodaný tovar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0F8FF19D" w14:textId="5DA39D97" w:rsidR="002814A6" w:rsidRPr="00435AAA" w:rsidRDefault="002814A6" w:rsidP="002814A6">
      <w:pPr>
        <w:spacing w:after="0" w:line="240" w:lineRule="auto"/>
        <w:ind w:left="567"/>
        <w:jc w:val="both"/>
        <w:rPr>
          <w:rFonts w:ascii="Arial Narrow" w:hAnsi="Arial Narrow"/>
        </w:rPr>
      </w:pPr>
      <w:r w:rsidRPr="004B2D2D">
        <w:rPr>
          <w:rFonts w:ascii="Arial Narrow" w:hAnsi="Arial Narrow" w:cs="Arial"/>
        </w:rPr>
        <w:t xml:space="preserve">Ak odberateľom bol verejný obstarávateľ alebo obstarávateľ podľa tohto zákona, súčasťou </w:t>
      </w:r>
      <w:r>
        <w:rPr>
          <w:rFonts w:ascii="Arial Narrow" w:hAnsi="Arial Narrow" w:cs="Arial"/>
        </w:rPr>
        <w:t>zoznamu poskytnutých služieb</w:t>
      </w:r>
      <w:r w:rsidRPr="004B2D2D">
        <w:rPr>
          <w:rFonts w:ascii="Arial Narrow" w:hAnsi="Arial Narrow" w:cs="Arial"/>
        </w:rPr>
        <w:t xml:space="preserve">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bookmarkEnd w:id="0"/>
    <w:p w14:paraId="4B0A0D77" w14:textId="77777777" w:rsidR="00197D66" w:rsidRDefault="00197D66" w:rsidP="00125322">
      <w:pPr>
        <w:spacing w:after="0" w:line="240" w:lineRule="auto"/>
        <w:jc w:val="both"/>
        <w:rPr>
          <w:rFonts w:ascii="Arial Narrow" w:hAnsi="Arial Narrow"/>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71CE3F21"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14:paraId="1058C216" w14:textId="77777777"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w:t>
      </w:r>
      <w:r w:rsidRPr="0048682B">
        <w:rPr>
          <w:rFonts w:ascii="Arial Narrow" w:hAnsi="Arial Narrow"/>
        </w:rPr>
        <w:lastRenderedPageBreak/>
        <w:t xml:space="preserve">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Style w:val="Obyajntabuka31"/>
          <w:rFonts w:ascii="Arial Narrow" w:hAnsi="Arial Narrow"/>
          <w:b w:val="0"/>
          <w:sz w:val="22"/>
        </w:rPr>
        <w:t>Hospodársky subjekt môže predbežne nahradiť doklady na preukázanie splnenia podmienok účasti jednotným európskym dokumentom podľa § 39 ods. 1 zákona.</w:t>
      </w:r>
    </w:p>
    <w:p w14:paraId="730A8BAE" w14:textId="7BA31A95" w:rsidR="007651FE" w:rsidRDefault="007651FE" w:rsidP="007651FE">
      <w:pPr>
        <w:spacing w:after="0" w:line="240" w:lineRule="auto"/>
        <w:jc w:val="both"/>
        <w:rPr>
          <w:rStyle w:val="Obyajntabuka31"/>
          <w:rFonts w:ascii="Arial Narrow" w:hAnsi="Arial Narrow"/>
          <w:b w:val="0"/>
          <w:sz w:val="22"/>
          <w:highlight w:val="cyan"/>
        </w:rPr>
      </w:pPr>
    </w:p>
    <w:p w14:paraId="3B3FC642" w14:textId="34AE6987" w:rsidR="00870FDC" w:rsidRDefault="00870FDC" w:rsidP="007651FE">
      <w:pPr>
        <w:spacing w:after="0" w:line="240" w:lineRule="auto"/>
        <w:jc w:val="both"/>
        <w:rPr>
          <w:rStyle w:val="Obyajntabuka31"/>
          <w:rFonts w:ascii="Arial Narrow" w:hAnsi="Arial Narrow"/>
          <w:b w:val="0"/>
          <w:sz w:val="22"/>
          <w:highlight w:val="cyan"/>
        </w:rPr>
      </w:pPr>
    </w:p>
    <w:p w14:paraId="22133C35" w14:textId="05A89D56" w:rsidR="00870FDC" w:rsidRDefault="00870FDC" w:rsidP="007651FE">
      <w:pPr>
        <w:spacing w:after="0" w:line="240" w:lineRule="auto"/>
        <w:jc w:val="both"/>
        <w:rPr>
          <w:rStyle w:val="Obyajntabuka31"/>
          <w:rFonts w:ascii="Arial Narrow" w:hAnsi="Arial Narrow"/>
          <w:b w:val="0"/>
          <w:sz w:val="22"/>
          <w:highlight w:val="cyan"/>
        </w:rPr>
      </w:pPr>
    </w:p>
    <w:sectPr w:rsidR="00870FDC"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CA24F" w14:textId="77777777" w:rsidR="00575921" w:rsidRDefault="00575921" w:rsidP="002F2CF6">
      <w:pPr>
        <w:spacing w:after="0" w:line="240" w:lineRule="auto"/>
      </w:pPr>
      <w:r>
        <w:separator/>
      </w:r>
    </w:p>
  </w:endnote>
  <w:endnote w:type="continuationSeparator" w:id="0">
    <w:p w14:paraId="16BB5A5D" w14:textId="77777777" w:rsidR="00575921" w:rsidRDefault="00575921"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2BDCCE0F"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650EBA">
      <w:rPr>
        <w:rFonts w:ascii="Arial Narrow" w:hAnsi="Arial Narrow"/>
        <w:noProof/>
        <w:sz w:val="20"/>
        <w:szCs w:val="20"/>
      </w:rPr>
      <w:t>2</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88991" w14:textId="77777777" w:rsidR="00575921" w:rsidRDefault="00575921" w:rsidP="002F2CF6">
      <w:pPr>
        <w:spacing w:after="0" w:line="240" w:lineRule="auto"/>
      </w:pPr>
      <w:r>
        <w:separator/>
      </w:r>
    </w:p>
  </w:footnote>
  <w:footnote w:type="continuationSeparator" w:id="0">
    <w:p w14:paraId="36FCA5EC" w14:textId="77777777" w:rsidR="00575921" w:rsidRDefault="00575921"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0"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5"/>
  </w:num>
  <w:num w:numId="6">
    <w:abstractNumId w:val="0"/>
  </w:num>
  <w:num w:numId="7">
    <w:abstractNumId w:val="4"/>
  </w:num>
  <w:num w:numId="8">
    <w:abstractNumId w:val="9"/>
  </w:num>
  <w:num w:numId="9">
    <w:abstractNumId w:val="3"/>
  </w:num>
  <w:num w:numId="10">
    <w:abstractNumId w:val="12"/>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6714D"/>
    <w:rsid w:val="00074DA8"/>
    <w:rsid w:val="00077D7B"/>
    <w:rsid w:val="000B3820"/>
    <w:rsid w:val="000C34B1"/>
    <w:rsid w:val="000C7F34"/>
    <w:rsid w:val="000E053E"/>
    <w:rsid w:val="00101F10"/>
    <w:rsid w:val="00125322"/>
    <w:rsid w:val="00131BA7"/>
    <w:rsid w:val="001871F5"/>
    <w:rsid w:val="0019653E"/>
    <w:rsid w:val="001979FF"/>
    <w:rsid w:val="00197D66"/>
    <w:rsid w:val="001B173F"/>
    <w:rsid w:val="001C5EF2"/>
    <w:rsid w:val="001D1234"/>
    <w:rsid w:val="001D6C98"/>
    <w:rsid w:val="001E076B"/>
    <w:rsid w:val="001F0E86"/>
    <w:rsid w:val="002228F3"/>
    <w:rsid w:val="002344AF"/>
    <w:rsid w:val="0024710B"/>
    <w:rsid w:val="00265214"/>
    <w:rsid w:val="00266139"/>
    <w:rsid w:val="00275791"/>
    <w:rsid w:val="002814A6"/>
    <w:rsid w:val="00283EC0"/>
    <w:rsid w:val="00287E6B"/>
    <w:rsid w:val="002950BB"/>
    <w:rsid w:val="002B1E55"/>
    <w:rsid w:val="002C0EB5"/>
    <w:rsid w:val="002D0A52"/>
    <w:rsid w:val="002F2CF6"/>
    <w:rsid w:val="002F5780"/>
    <w:rsid w:val="003042DE"/>
    <w:rsid w:val="0033257F"/>
    <w:rsid w:val="00336F13"/>
    <w:rsid w:val="00366424"/>
    <w:rsid w:val="003665DF"/>
    <w:rsid w:val="00384934"/>
    <w:rsid w:val="003A7447"/>
    <w:rsid w:val="003B40B0"/>
    <w:rsid w:val="003C3224"/>
    <w:rsid w:val="003C5FE3"/>
    <w:rsid w:val="003E1434"/>
    <w:rsid w:val="003F340C"/>
    <w:rsid w:val="004000DF"/>
    <w:rsid w:val="00400237"/>
    <w:rsid w:val="0041117E"/>
    <w:rsid w:val="00411AC6"/>
    <w:rsid w:val="0042183F"/>
    <w:rsid w:val="004234B3"/>
    <w:rsid w:val="004270F5"/>
    <w:rsid w:val="00435AAA"/>
    <w:rsid w:val="00443728"/>
    <w:rsid w:val="00471F56"/>
    <w:rsid w:val="00481F73"/>
    <w:rsid w:val="0048472D"/>
    <w:rsid w:val="0048682B"/>
    <w:rsid w:val="004909E2"/>
    <w:rsid w:val="004B1510"/>
    <w:rsid w:val="004B2D2D"/>
    <w:rsid w:val="004B5993"/>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676A3"/>
    <w:rsid w:val="00575921"/>
    <w:rsid w:val="00585E5D"/>
    <w:rsid w:val="00593C06"/>
    <w:rsid w:val="005A7CB3"/>
    <w:rsid w:val="005C4F9D"/>
    <w:rsid w:val="005D0C00"/>
    <w:rsid w:val="005D2FF1"/>
    <w:rsid w:val="00612DB3"/>
    <w:rsid w:val="00615FAB"/>
    <w:rsid w:val="00626E8D"/>
    <w:rsid w:val="006435C6"/>
    <w:rsid w:val="006473DC"/>
    <w:rsid w:val="00647B4F"/>
    <w:rsid w:val="00650EBA"/>
    <w:rsid w:val="0065519D"/>
    <w:rsid w:val="006744A6"/>
    <w:rsid w:val="006959DA"/>
    <w:rsid w:val="006B40D5"/>
    <w:rsid w:val="006C7B78"/>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A6695"/>
    <w:rsid w:val="007B1EFE"/>
    <w:rsid w:val="007C4970"/>
    <w:rsid w:val="007D6987"/>
    <w:rsid w:val="007F1FC2"/>
    <w:rsid w:val="007F647F"/>
    <w:rsid w:val="00800AE1"/>
    <w:rsid w:val="0080159A"/>
    <w:rsid w:val="008028A0"/>
    <w:rsid w:val="00804189"/>
    <w:rsid w:val="00804DBD"/>
    <w:rsid w:val="008366F1"/>
    <w:rsid w:val="008452B0"/>
    <w:rsid w:val="00867B41"/>
    <w:rsid w:val="00870FDC"/>
    <w:rsid w:val="00892235"/>
    <w:rsid w:val="008B7C2D"/>
    <w:rsid w:val="008C68C5"/>
    <w:rsid w:val="008E4706"/>
    <w:rsid w:val="008E7B85"/>
    <w:rsid w:val="008F1596"/>
    <w:rsid w:val="00905BC6"/>
    <w:rsid w:val="009104B5"/>
    <w:rsid w:val="00932AC8"/>
    <w:rsid w:val="0093608A"/>
    <w:rsid w:val="00947ECF"/>
    <w:rsid w:val="00952474"/>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75341"/>
    <w:rsid w:val="00A81524"/>
    <w:rsid w:val="00A83C23"/>
    <w:rsid w:val="00A93B01"/>
    <w:rsid w:val="00AA7E60"/>
    <w:rsid w:val="00AB14BF"/>
    <w:rsid w:val="00AB3299"/>
    <w:rsid w:val="00AB5CA9"/>
    <w:rsid w:val="00AC65A5"/>
    <w:rsid w:val="00AC7F8D"/>
    <w:rsid w:val="00AD7824"/>
    <w:rsid w:val="00AE5F6C"/>
    <w:rsid w:val="00B16B83"/>
    <w:rsid w:val="00B334DB"/>
    <w:rsid w:val="00B367DC"/>
    <w:rsid w:val="00B41DB5"/>
    <w:rsid w:val="00B4397D"/>
    <w:rsid w:val="00B5297B"/>
    <w:rsid w:val="00B61741"/>
    <w:rsid w:val="00B63312"/>
    <w:rsid w:val="00B93BE9"/>
    <w:rsid w:val="00BA550B"/>
    <w:rsid w:val="00BA7A58"/>
    <w:rsid w:val="00BB47F0"/>
    <w:rsid w:val="00BB5721"/>
    <w:rsid w:val="00BC7A9D"/>
    <w:rsid w:val="00BD4CE4"/>
    <w:rsid w:val="00BE4C4B"/>
    <w:rsid w:val="00BF2F20"/>
    <w:rsid w:val="00BF768B"/>
    <w:rsid w:val="00C05CA0"/>
    <w:rsid w:val="00C2198A"/>
    <w:rsid w:val="00C3480B"/>
    <w:rsid w:val="00C4474E"/>
    <w:rsid w:val="00C61243"/>
    <w:rsid w:val="00C6773F"/>
    <w:rsid w:val="00C74BBC"/>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222E"/>
    <w:rsid w:val="00D74DFD"/>
    <w:rsid w:val="00D75FB4"/>
    <w:rsid w:val="00D76C31"/>
    <w:rsid w:val="00D8128F"/>
    <w:rsid w:val="00D903CE"/>
    <w:rsid w:val="00D94A99"/>
    <w:rsid w:val="00D954B2"/>
    <w:rsid w:val="00DA05C0"/>
    <w:rsid w:val="00DA413C"/>
    <w:rsid w:val="00DA4875"/>
    <w:rsid w:val="00DA4C4A"/>
    <w:rsid w:val="00DB3D0D"/>
    <w:rsid w:val="00DC24CA"/>
    <w:rsid w:val="00DD7509"/>
    <w:rsid w:val="00DE5DD9"/>
    <w:rsid w:val="00DF02D0"/>
    <w:rsid w:val="00E031C1"/>
    <w:rsid w:val="00E321B5"/>
    <w:rsid w:val="00E32628"/>
    <w:rsid w:val="00E345CC"/>
    <w:rsid w:val="00E35E80"/>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94D9A"/>
    <w:rsid w:val="00F95EAD"/>
    <w:rsid w:val="00FA33B8"/>
    <w:rsid w:val="00FB52E9"/>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2F88E-8523-46BC-858D-9BC8D4A9F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6192</Characters>
  <Application>Microsoft Office Word</Application>
  <DocSecurity>0</DocSecurity>
  <Lines>51</Lines>
  <Paragraphs>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7264</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2020-03-05T10:45:00Z</dcterms:created>
  <dcterms:modified xsi:type="dcterms:W3CDTF">2020-03-06T14:00:00Z</dcterms:modified>
</cp:coreProperties>
</file>